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001-35780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19075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971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BRIGHT HORIZONS FAMILY SOLUTIONS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69"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109"/>
        <w:gridCol w:w="109"/>
        <w:gridCol w:w="109"/>
        <w:gridCol w:w="109"/>
        <w:gridCol w:w="109"/>
        <w:gridCol w:w="109"/>
        <w:gridCol w:w="512"/>
        <w:gridCol w:w="512"/>
        <w:gridCol w:w="730"/>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80-0188269</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tbl>
      <w:tblPr>
        <w:tblW w:w="4728" w:type="dxa"/>
        <w:jc w:val="center"/>
        <w:tblInd w:w="0" w:type="dxa"/>
        <w:tblLayout w:type="fixed"/>
        <w:tblCellMar>
          <w:top w:w="28" w:type="dxa"/>
          <w:left w:w="28" w:type="dxa"/>
          <w:bottom w:w="28" w:type="dxa"/>
          <w:right w:w="28" w:type="dxa"/>
        </w:tblCellMar>
      </w:tblPr>
      <w:tblGrid>
        <w:gridCol w:w="530"/>
        <w:gridCol w:w="465"/>
        <w:gridCol w:w="465"/>
        <w:gridCol w:w="465"/>
        <w:gridCol w:w="465"/>
        <w:gridCol w:w="473"/>
        <w:gridCol w:w="109"/>
        <w:gridCol w:w="109"/>
        <w:gridCol w:w="109"/>
        <w:gridCol w:w="109"/>
        <w:gridCol w:w="109"/>
        <w:gridCol w:w="109"/>
        <w:gridCol w:w="109"/>
        <w:gridCol w:w="109"/>
        <w:gridCol w:w="109"/>
        <w:gridCol w:w="259"/>
        <w:gridCol w:w="259"/>
        <w:gridCol w:w="366"/>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 Wells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02459</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40" w:after="4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(617) 673-8000</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91" w:type="dxa"/>
        <w:jc w:val="center"/>
        <w:tblInd w:w="0" w:type="dxa"/>
        <w:tblLayout w:type="fixed"/>
        <w:tblCellMar>
          <w:top w:w="28" w:type="dxa"/>
          <w:left w:w="28" w:type="dxa"/>
          <w:bottom w:w="28" w:type="dxa"/>
          <w:right w:w="28" w:type="dxa"/>
        </w:tblCellMar>
      </w:tblPr>
      <w:tblGrid>
        <w:gridCol w:w="1301"/>
        <w:gridCol w:w="1145"/>
        <w:gridCol w:w="1153"/>
        <w:gridCol w:w="109"/>
        <w:gridCol w:w="109"/>
        <w:gridCol w:w="109"/>
        <w:gridCol w:w="519"/>
        <w:gridCol w:w="519"/>
        <w:gridCol w:w="521"/>
        <w:gridCol w:w="109"/>
        <w:gridCol w:w="109"/>
        <w:gridCol w:w="109"/>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BFAM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serif" w:hAnsi="Times New Roman;serif"/>
          <w:b w:val="false"/>
          <w:color w:val="000000"/>
          <w:sz w:val="16"/>
        </w:rPr>
        <w: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3"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27, 2026, there were 48,635,306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70" w:type="dxa"/>
        <w:jc w:val="center"/>
        <w:tblInd w:w="0" w:type="dxa"/>
        <w:tblLayout w:type="fixed"/>
        <w:tblCellMar>
          <w:top w:w="28" w:type="dxa"/>
          <w:left w:w="28" w:type="dxa"/>
          <w:bottom w:w="28" w:type="dxa"/>
          <w:right w:w="28" w:type="dxa"/>
        </w:tblCellMar>
      </w:tblPr>
      <w:tblGrid>
        <w:gridCol w:w="630"/>
        <w:gridCol w:w="552"/>
        <w:gridCol w:w="552"/>
        <w:gridCol w:w="2439"/>
        <w:gridCol w:w="2439"/>
        <w:gridCol w:w="2487"/>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
              <w:r>
                <w:rPr>
                  <w:rStyle w:val="InternetLink"/>
                  <w:rFonts w:ascii="Times New Roman;serif" w:hAnsi="Times New Roman;serif"/>
                  <w:b/>
                  <w:color w:val="000000"/>
                  <w:sz w:val="20"/>
                  <w:u w:val="single"/>
                </w:rPr>
                <w:t>PART I. 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3">
              <w:r>
                <w:rPr>
                  <w:rStyle w:val="InternetLink"/>
                  <w:rFonts w:ascii="Times New Roman;serif" w:hAnsi="Times New Roman;serif"/>
                  <w:b w:val="false"/>
                  <w:color w:val="0000FF"/>
                  <w:sz w:val="20"/>
                  <w:u w:val="single"/>
                </w:rPr>
                <w:t>Condensed Consolidated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3">
              <w:r>
                <w:rPr>
                  <w:rStyle w:val="InternetLink"/>
                  <w:rFonts w:ascii="Times New Roman;serif" w:hAnsi="Times New Roman;serif"/>
                  <w:b w:val="false"/>
                  <w:color w:val="0000FF"/>
                  <w:sz w:val="20"/>
                  <w:u w:val="single"/>
                </w:rPr>
                <w:t>3</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8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85">
              <w:r>
                <w:rPr>
                  <w:rStyle w:val="InternetLink"/>
                  <w:rFonts w:ascii="Times New Roman;serif" w:hAnsi="Times New Roman;serif"/>
                  <w:b w:val="false"/>
                  <w:color w:val="0000FF"/>
                  <w:sz w:val="20"/>
                  <w:u w:val="single"/>
                </w:rPr>
                <w:t>24</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9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91">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91">
              <w:r>
                <w:rPr>
                  <w:rStyle w:val="InternetLink"/>
                  <w:rFonts w:ascii="Times New Roman;serif" w:hAnsi="Times New Roman;serif"/>
                  <w:b w:val="false"/>
                  <w:color w:val="0000FF"/>
                  <w:sz w:val="20"/>
                  <w:u w:val="single"/>
                </w:rPr>
                <w:t>37</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9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94">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94">
              <w:r>
                <w:rPr>
                  <w:rStyle w:val="InternetLink"/>
                  <w:rFonts w:ascii="Times New Roman;serif" w:hAnsi="Times New Roman;serif"/>
                  <w:b w:val="false"/>
                  <w:color w:val="0000FF"/>
                  <w:sz w:val="20"/>
                  <w:u w:val="single"/>
                </w:rPr>
                <w:t>37</w:t>
              </w:r>
            </w:hyperlink>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97">
              <w:r>
                <w:rPr>
                  <w:rStyle w:val="InternetLink"/>
                  <w:rFonts w:ascii="Times New Roman;serif" w:hAnsi="Times New Roman;serif"/>
                  <w:b/>
                  <w:color w:val="000000"/>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0">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0">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00">
              <w:r>
                <w:rPr>
                  <w:rStyle w:val="InternetLink"/>
                  <w:rFonts w:ascii="Times New Roman;serif" w:hAnsi="Times New Roman;serif"/>
                  <w:b w:val="false"/>
                  <w:color w:val="0000FF"/>
                  <w:sz w:val="20"/>
                  <w:u w:val="single"/>
                </w:rPr>
                <w:t>38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3">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3">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03">
              <w:r>
                <w:rPr>
                  <w:rStyle w:val="InternetLink"/>
                  <w:rFonts w:ascii="Times New Roman;serif" w:hAnsi="Times New Roman;serif"/>
                  <w:b w:val="false"/>
                  <w:color w:val="0000FF"/>
                  <w:sz w:val="20"/>
                  <w:u w:val="single"/>
                </w:rPr>
                <w:t>38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6">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06">
              <w:r>
                <w:rPr>
                  <w:rStyle w:val="InternetLink"/>
                  <w:rFonts w:ascii="Times New Roman;serif" w:hAnsi="Times New Roman;serif"/>
                  <w:b w:val="false"/>
                  <w:color w:val="0000FF"/>
                  <w:sz w:val="20"/>
                  <w:u w:val="single"/>
                </w:rPr>
                <w:t>38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9">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09">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09">
              <w:r>
                <w:rPr>
                  <w:rStyle w:val="InternetLink"/>
                  <w:rFonts w:ascii="Times New Roman;serif" w:hAnsi="Times New Roman;serif"/>
                  <w:b w:val="false"/>
                  <w:color w:val="0000FF"/>
                  <w:sz w:val="20"/>
                  <w:u w:val="single"/>
                </w:rPr>
                <w:t>39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12">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12">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12">
              <w:r>
                <w:rPr>
                  <w:rStyle w:val="InternetLink"/>
                  <w:rFonts w:ascii="Times New Roman;serif" w:hAnsi="Times New Roman;serif"/>
                  <w:b w:val="false"/>
                  <w:color w:val="0000FF"/>
                  <w:sz w:val="20"/>
                  <w:u w:val="single"/>
                </w:rPr>
                <w:t>39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15">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15">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15">
              <w:r>
                <w:rPr>
                  <w:rStyle w:val="InternetLink"/>
                  <w:rFonts w:ascii="Times New Roman;serif" w:hAnsi="Times New Roman;serif"/>
                  <w:b w:val="false"/>
                  <w:color w:val="0000FF"/>
                  <w:sz w:val="20"/>
                  <w:u w:val="single"/>
                </w:rPr>
                <w:t>39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21">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21">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21">
              <w:r>
                <w:rPr>
                  <w:rStyle w:val="InternetLink"/>
                  <w:rFonts w:ascii="Times New Roman;serif" w:hAnsi="Times New Roman;serif"/>
                  <w:b w:val="false"/>
                  <w:color w:val="0000FF"/>
                  <w:sz w:val="20"/>
                  <w:u w:val="single"/>
                </w:rPr>
                <w:t>39</w:t>
              </w:r>
            </w:hyperlink>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3ce2178c4c4127bccfccb836f8ee87_124">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3ce2178c4c4127bccfccb836f8ee87_124">
              <w:r>
                <w:rPr>
                  <w:rStyle w:val="InternetLink"/>
                  <w:rFonts w:ascii="Times New Roman;serif" w:hAnsi="Times New Roman;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1"/>
        <w:gridCol w:w="2135"/>
        <w:gridCol w:w="2108"/>
        <w:gridCol w:w="211"/>
        <w:gridCol w:w="976"/>
        <w:gridCol w:w="109"/>
        <w:gridCol w:w="109"/>
        <w:gridCol w:w="109"/>
        <w:gridCol w:w="109"/>
        <w:gridCol w:w="224"/>
        <w:gridCol w:w="1038"/>
        <w:gridCol w:w="166"/>
      </w:tblGrid>
      <w:tr>
        <w:trPr/>
        <w:tc>
          <w:tcPr>
            <w:tcW w:w="291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net of allowance for credit losses of $3,406 and $3,667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503,973 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3,889,603 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966,165 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25,000,000 shares authorized; no shares issued or outstanding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475,000,000 shares authorized; 49,244,296 and 55,622,045 shares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1,339,291 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3,889,603 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120" w:after="360"/>
        <w:jc w:val="center"/>
        <w:rPr>
          <w:rFonts w:ascii="Times New Roman;serif" w:hAnsi="Times New Roman;serif"/>
          <w:b/>
          <w:color w:val="000000"/>
          <w:sz w:val="20"/>
        </w:rPr>
      </w:pPr>
      <w:r>
        <w:rPr>
          <w:rFonts w:ascii="Times New Roman;serif" w:hAnsi="Times New Roman;serif"/>
          <w:b/>
          <w:color w:val="000000"/>
          <w:sz w:val="20"/>
        </w:rPr>
        <w:t>(Unaudited)</w:t>
      </w:r>
    </w:p>
    <w:tbl>
      <w:tblPr>
        <w:tblW w:w="9958" w:type="dxa"/>
        <w:jc w:val="center"/>
        <w:tblInd w:w="0" w:type="dxa"/>
        <w:tblLayout w:type="fixed"/>
        <w:tblCellMar>
          <w:top w:w="28" w:type="dxa"/>
          <w:left w:w="28" w:type="dxa"/>
          <w:bottom w:w="28" w:type="dxa"/>
          <w:right w:w="28" w:type="dxa"/>
        </w:tblCellMar>
      </w:tblPr>
      <w:tblGrid>
        <w:gridCol w:w="1432"/>
        <w:gridCol w:w="1261"/>
        <w:gridCol w:w="1267"/>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57,319,814 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45"/>
        <w:gridCol w:w="1522"/>
        <w:gridCol w:w="1537"/>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 and investments,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120" w:after="360"/>
        <w:jc w:val="center"/>
        <w:rPr>
          <w:rFonts w:ascii="Times New Roman;serif" w:hAnsi="Times New Roman;serif"/>
          <w:b/>
          <w:color w:val="000000"/>
          <w:sz w:val="20"/>
        </w:rPr>
      </w:pPr>
      <w:r>
        <w:rPr>
          <w:rFonts w:ascii="Times New Roman;serif" w:hAnsi="Times New Roman;serif"/>
          <w:b/>
          <w:color w:val="000000"/>
          <w:sz w:val="20"/>
        </w:rPr>
        <w:t>(Unaudited)</w:t>
      </w:r>
    </w:p>
    <w:tbl>
      <w:tblPr>
        <w:tblW w:w="10556" w:type="dxa"/>
        <w:jc w:val="center"/>
        <w:tblInd w:w="0" w:type="dxa"/>
        <w:tblLayout w:type="fixed"/>
        <w:tblCellMar>
          <w:top w:w="28" w:type="dxa"/>
          <w:left w:w="28" w:type="dxa"/>
          <w:bottom w:w="28" w:type="dxa"/>
          <w:right w:w="28" w:type="dxa"/>
        </w:tblCellMar>
      </w:tblPr>
      <w:tblGrid>
        <w:gridCol w:w="755"/>
        <w:gridCol w:w="215"/>
        <w:gridCol w:w="216"/>
        <w:gridCol w:w="480"/>
        <w:gridCol w:w="481"/>
        <w:gridCol w:w="211"/>
        <w:gridCol w:w="109"/>
        <w:gridCol w:w="109"/>
        <w:gridCol w:w="109"/>
        <w:gridCol w:w="231"/>
        <w:gridCol w:w="390"/>
        <w:gridCol w:w="130"/>
        <w:gridCol w:w="109"/>
        <w:gridCol w:w="109"/>
        <w:gridCol w:w="109"/>
        <w:gridCol w:w="196"/>
        <w:gridCol w:w="736"/>
        <w:gridCol w:w="109"/>
        <w:gridCol w:w="109"/>
        <w:gridCol w:w="109"/>
        <w:gridCol w:w="109"/>
        <w:gridCol w:w="288"/>
        <w:gridCol w:w="463"/>
        <w:gridCol w:w="125"/>
        <w:gridCol w:w="109"/>
        <w:gridCol w:w="109"/>
        <w:gridCol w:w="109"/>
        <w:gridCol w:w="264"/>
        <w:gridCol w:w="893"/>
        <w:gridCol w:w="149"/>
        <w:gridCol w:w="109"/>
        <w:gridCol w:w="109"/>
        <w:gridCol w:w="109"/>
        <w:gridCol w:w="196"/>
        <w:gridCol w:w="736"/>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br/>
              <w:t>at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52,870,361 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Equity Incentive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received in net share settlement of stock option exercises and vesting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49,244,296 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(44,173)</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987,643 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91" w:type="dxa"/>
        <w:jc w:val="center"/>
        <w:tblInd w:w="0" w:type="dxa"/>
        <w:tblLayout w:type="fixed"/>
        <w:tblCellMar>
          <w:top w:w="28" w:type="dxa"/>
          <w:left w:w="28" w:type="dxa"/>
          <w:bottom w:w="28" w:type="dxa"/>
          <w:right w:w="28" w:type="dxa"/>
        </w:tblCellMar>
      </w:tblPr>
      <w:tblGrid>
        <w:gridCol w:w="755"/>
        <w:gridCol w:w="215"/>
        <w:gridCol w:w="216"/>
        <w:gridCol w:w="480"/>
        <w:gridCol w:w="481"/>
        <w:gridCol w:w="211"/>
        <w:gridCol w:w="109"/>
        <w:gridCol w:w="109"/>
        <w:gridCol w:w="109"/>
        <w:gridCol w:w="231"/>
        <w:gridCol w:w="390"/>
        <w:gridCol w:w="130"/>
        <w:gridCol w:w="109"/>
        <w:gridCol w:w="109"/>
        <w:gridCol w:w="109"/>
        <w:gridCol w:w="196"/>
        <w:gridCol w:w="736"/>
        <w:gridCol w:w="109"/>
        <w:gridCol w:w="109"/>
        <w:gridCol w:w="109"/>
        <w:gridCol w:w="109"/>
        <w:gridCol w:w="223"/>
        <w:gridCol w:w="463"/>
        <w:gridCol w:w="125"/>
        <w:gridCol w:w="109"/>
        <w:gridCol w:w="109"/>
        <w:gridCol w:w="109"/>
        <w:gridCol w:w="264"/>
        <w:gridCol w:w="893"/>
        <w:gridCol w:w="149"/>
        <w:gridCol w:w="109"/>
        <w:gridCol w:w="109"/>
        <w:gridCol w:w="109"/>
        <w:gridCol w:w="196"/>
        <w:gridCol w:w="736"/>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br/>
              <w:t>at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57,479,307 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(89,269)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Equity Incentive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received in net share settlement of stock option exercises and vesting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57,170,610 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(35,455)</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858,840 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1,399,121 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120" w:after="360"/>
        <w:jc w:val="center"/>
        <w:rPr>
          <w:rFonts w:ascii="Times New Roman;serif" w:hAnsi="Times New Roman;serif"/>
          <w:b/>
          <w:color w:val="000000"/>
          <w:sz w:val="20"/>
        </w:rPr>
      </w:pPr>
      <w:r>
        <w:rPr>
          <w:rFonts w:ascii="Times New Roman;serif" w:hAnsi="Times New Roman;serif"/>
          <w:b/>
          <w:color w:val="000000"/>
          <w:sz w:val="20"/>
        </w:rPr>
        <w:t>(Unaudited)</w:t>
      </w:r>
    </w:p>
    <w:tbl>
      <w:tblPr>
        <w:tblW w:w="10556" w:type="dxa"/>
        <w:jc w:val="center"/>
        <w:tblInd w:w="0" w:type="dxa"/>
        <w:tblLayout w:type="fixed"/>
        <w:tblCellMar>
          <w:top w:w="28" w:type="dxa"/>
          <w:left w:w="28" w:type="dxa"/>
          <w:bottom w:w="28" w:type="dxa"/>
          <w:right w:w="28" w:type="dxa"/>
        </w:tblCellMar>
      </w:tblPr>
      <w:tblGrid>
        <w:gridCol w:w="755"/>
        <w:gridCol w:w="215"/>
        <w:gridCol w:w="216"/>
        <w:gridCol w:w="480"/>
        <w:gridCol w:w="481"/>
        <w:gridCol w:w="211"/>
        <w:gridCol w:w="109"/>
        <w:gridCol w:w="109"/>
        <w:gridCol w:w="109"/>
        <w:gridCol w:w="231"/>
        <w:gridCol w:w="390"/>
        <w:gridCol w:w="130"/>
        <w:gridCol w:w="109"/>
        <w:gridCol w:w="109"/>
        <w:gridCol w:w="109"/>
        <w:gridCol w:w="196"/>
        <w:gridCol w:w="736"/>
        <w:gridCol w:w="109"/>
        <w:gridCol w:w="109"/>
        <w:gridCol w:w="109"/>
        <w:gridCol w:w="109"/>
        <w:gridCol w:w="288"/>
        <w:gridCol w:w="463"/>
        <w:gridCol w:w="125"/>
        <w:gridCol w:w="109"/>
        <w:gridCol w:w="109"/>
        <w:gridCol w:w="109"/>
        <w:gridCol w:w="264"/>
        <w:gridCol w:w="893"/>
        <w:gridCol w:w="149"/>
        <w:gridCol w:w="109"/>
        <w:gridCol w:w="109"/>
        <w:gridCol w:w="109"/>
        <w:gridCol w:w="196"/>
        <w:gridCol w:w="736"/>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br/>
              <w:t>at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55,622,045 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(44,850)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Equity Incentive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received in net share settlement of stock option exercises and vesting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(6,564,806)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49,244,296 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(44,173)</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987,643 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91" w:type="dxa"/>
        <w:jc w:val="center"/>
        <w:tblInd w:w="0" w:type="dxa"/>
        <w:tblLayout w:type="fixed"/>
        <w:tblCellMar>
          <w:top w:w="28" w:type="dxa"/>
          <w:left w:w="28" w:type="dxa"/>
          <w:bottom w:w="28" w:type="dxa"/>
          <w:right w:w="28" w:type="dxa"/>
        </w:tblCellMar>
      </w:tblPr>
      <w:tblGrid>
        <w:gridCol w:w="755"/>
        <w:gridCol w:w="215"/>
        <w:gridCol w:w="216"/>
        <w:gridCol w:w="480"/>
        <w:gridCol w:w="481"/>
        <w:gridCol w:w="211"/>
        <w:gridCol w:w="109"/>
        <w:gridCol w:w="109"/>
        <w:gridCol w:w="109"/>
        <w:gridCol w:w="231"/>
        <w:gridCol w:w="390"/>
        <w:gridCol w:w="130"/>
        <w:gridCol w:w="109"/>
        <w:gridCol w:w="109"/>
        <w:gridCol w:w="109"/>
        <w:gridCol w:w="196"/>
        <w:gridCol w:w="736"/>
        <w:gridCol w:w="109"/>
        <w:gridCol w:w="109"/>
        <w:gridCol w:w="109"/>
        <w:gridCol w:w="109"/>
        <w:gridCol w:w="223"/>
        <w:gridCol w:w="463"/>
        <w:gridCol w:w="125"/>
        <w:gridCol w:w="109"/>
        <w:gridCol w:w="109"/>
        <w:gridCol w:w="109"/>
        <w:gridCol w:w="242"/>
        <w:gridCol w:w="928"/>
        <w:gridCol w:w="136"/>
        <w:gridCol w:w="109"/>
        <w:gridCol w:w="109"/>
        <w:gridCol w:w="109"/>
        <w:gridCol w:w="196"/>
        <w:gridCol w:w="736"/>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br/>
              <w:t>at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57,404,736 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Equity Incentive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received in net share settlement of stock option exercises and vesting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57,170,610 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(35,455)</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858,840 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1,399,121 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120" w:after="360"/>
        <w:jc w:val="center"/>
        <w:rPr>
          <w:rFonts w:ascii="Times New Roman;serif" w:hAnsi="Times New Roman;serif"/>
          <w:b/>
          <w:color w:val="000000"/>
          <w:sz w:val="20"/>
        </w:rPr>
      </w:pPr>
      <w:r>
        <w:rPr>
          <w:rFonts w:ascii="Times New Roman;serif" w:hAnsi="Times New Roman;serif"/>
          <w:b/>
          <w:color w:val="000000"/>
          <w:sz w:val="20"/>
        </w:rPr>
        <w:t>(Unaudited)</w:t>
      </w:r>
    </w:p>
    <w:tbl>
      <w:tblPr>
        <w:tblW w:w="9412" w:type="dxa"/>
        <w:jc w:val="center"/>
        <w:tblInd w:w="0" w:type="dxa"/>
        <w:tblLayout w:type="fixed"/>
        <w:tblCellMar>
          <w:top w:w="28" w:type="dxa"/>
          <w:left w:w="28" w:type="dxa"/>
          <w:bottom w:w="28" w:type="dxa"/>
          <w:right w:w="28" w:type="dxa"/>
        </w:tblCellMar>
      </w:tblPr>
      <w:tblGrid>
        <w:gridCol w:w="2442"/>
        <w:gridCol w:w="2144"/>
        <w:gridCol w:w="2149"/>
        <w:gridCol w:w="213"/>
        <w:gridCol w:w="837"/>
        <w:gridCol w:w="109"/>
        <w:gridCol w:w="109"/>
        <w:gridCol w:w="109"/>
        <w:gridCol w:w="109"/>
        <w:gridCol w:w="211"/>
        <w:gridCol w:w="826"/>
        <w:gridCol w:w="154"/>
      </w:tblGrid>
      <w:tr>
        <w:trPr/>
        <w:tc>
          <w:tcPr>
            <w:tcW w:w="244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 and other non-cash items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 —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securities and other investments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securities and other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and settlements for acquisitions — net of cash acquired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under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long-term debt — net of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long-term debt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revolving credit facility debt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common stock upon exercise of options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net share settlement of stock options and restricted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120" w:after="3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31"/>
        <w:gridCol w:w="2402"/>
        <w:gridCol w:w="2407"/>
        <w:gridCol w:w="211"/>
        <w:gridCol w:w="826"/>
        <w:gridCol w:w="109"/>
        <w:gridCol w:w="109"/>
        <w:gridCol w:w="109"/>
        <w:gridCol w:w="109"/>
        <w:gridCol w:w="211"/>
        <w:gridCol w:w="826"/>
        <w:gridCol w:w="155"/>
      </w:tblGrid>
      <w:tr>
        <w:trPr/>
        <w:tc>
          <w:tcPr>
            <w:tcW w:w="2731"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of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cash flow hedges of interest rate risk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of income taxes (net of refunds in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 recorded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 obtained in exchange for operating lease liabilities —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purchases in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reclassified from other current liabilities to equity upon vesting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120" w:after="120"/>
        <w:jc w:val="left"/>
        <w:rPr/>
      </w:pPr>
      <w:r>
        <w:rPr>
          <w:rFonts w:ascii="Times New Roman;serif" w:hAnsi="Times New Roman;serif"/>
          <w:b/>
          <w:color w:val="000000"/>
          <w:sz w:val="20"/>
        </w:rPr>
        <w:t xml:space="preserve">Organization </w:t>
      </w:r>
      <w:r>
        <w:rPr>
          <w:color w:val="000000"/>
        </w:rPr>
        <w:t xml:space="preserve">— </w:t>
      </w:r>
      <w:r>
        <w:rPr>
          <w:rFonts w:ascii="Times New Roman;serif" w:hAnsi="Times New Roman;serif"/>
          <w:b w:val="false"/>
          <w:color w:val="000000"/>
          <w:sz w:val="20"/>
        </w:rPr>
        <w:t>Bright Horizons Family Solutions Inc. (“Bright Horizons” or the “Company”) provides early education and child care, comprehensive back-up care solutions, and educational advisory services for employers and families in the United States, the United Kingdom, the Netherlands, Australia and India. The Company provides services designed to support both working families and employers' workforce strategies by supporting their employees across life and career stages, and improving employee recruitment, engagement, productivity, retention, and career advancement. The Company provides services primarily under multi-year contracts with employer-clients who offer early education and child care, back-up care, and educational advisory services as part of their employee benefits package.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operated 988 early education and child care centers.</w:t>
      </w:r>
    </w:p>
    <w:p>
      <w:pPr>
        <w:pStyle w:val="TextBody"/>
        <w:bidi w:val="0"/>
        <w:spacing w:lineRule="auto" w:line="288" w:before="120" w:after="120"/>
        <w:jc w:val="left"/>
        <w:rPr/>
      </w:pPr>
      <w:r>
        <w:rPr>
          <w:rFonts w:ascii="Times New Roman;serif" w:hAnsi="Times New Roman;serif"/>
          <w:b/>
          <w:color w:val="000000"/>
          <w:sz w:val="20"/>
        </w:rPr>
        <w:t xml:space="preserve">Basis of Presentation </w:t>
      </w:r>
      <w:r>
        <w:rPr>
          <w:color w:val="000000"/>
        </w:rPr>
        <w:t xml:space="preserve">— </w:t>
      </w:r>
      <w:r>
        <w:rPr>
          <w:rFonts w:ascii="Times New Roman;serif" w:hAnsi="Times New Roman;serif"/>
          <w:b w:val="false"/>
          <w:color w:val="000000"/>
          <w:sz w:val="20"/>
        </w:rPr>
        <w:t>The accompanying unaudited condensed consolidated balance sheet as of June 30, 2026 and the unaudited condensed consolidated statements of income, comprehensive income, changes in stockholders’ equity, and cash flows for the interim periods ended June 30, 2026 and 2025 have been prepared in accordance with accounting principles generally accepted in the United States of America (“U.S. GAAP” or “GAAP”) for interim financial information and pursuant to the rules and regulations of the Securities and Exchange Commission (“SEC”). Accordingly, they do not include all of the information and footnotes required in accordance with U.S. GAAP for complete financial statements and should be read in conjunction with the audited financial statements included in the Company’s Annual Report on Form 10-K for the year ended December 31, 2025. The consolidated financial statements include the accounts of the Company and its subsidiaries. Intercompany balances and transactions have been eliminated in consolidation.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opinion of the Company’s management, the Company’s unaudited condensed consolidated balance sheet as of June 30, 2026 and the unaudited condensed consolidated statements of income, comprehensive income, changes in stockholders’ equity, and cash flows for the interim periods ended June 30, 2026 and 2025, reflect all adjustments (consisting only of normal and recurring adjustments) necessary to present fairly the results of the interim periods presented. The operating results for the interim periods presented are not necessarily indicative of the results expected for the full year.</w:t>
      </w:r>
    </w:p>
    <w:p>
      <w:pPr>
        <w:pStyle w:val="TextBody"/>
        <w:bidi w:val="0"/>
        <w:spacing w:lineRule="auto" w:line="288" w:before="120" w:after="120"/>
        <w:jc w:val="left"/>
        <w:rPr/>
      </w:pP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 xml:space="preserve">Equity </w:t>
      </w:r>
      <w:r>
        <w:rPr>
          <w:color w:val="000000"/>
        </w:rPr>
        <w:t xml:space="preserve">— </w:t>
      </w:r>
      <w:r>
        <w:rPr>
          <w:rFonts w:ascii="Times New Roman;serif" w:hAnsi="Times New Roman;serif"/>
          <w:b w:val="false"/>
          <w:color w:val="000000"/>
          <w:sz w:val="20"/>
        </w:rPr>
        <w:t>The board of directors of the Company authorized a new share repurchase program of up to $600 million (exclusive of fees, commissions or other expenses) of the Company’s outstanding common stock effective March 9, 2026. The new share repurchase program has no expiration date and canceled and replaced the prior share repurchase program of up to $500 million announced in June 2025, of which approximately $127.6 million remained available thereunder. The shares may be repurchased from time to time in open market transactions at prevailing market prices, in privately negotiated transactions or by other means in accordance with federal securities law, including under Rule 10b5-1 plans or accelerated share repurchase programs. During the six months ended June 30, 2026, the Company repurchased approximately 6.6 million shares for $473.2 million under the repurchase program (resulting in a $4.6 million excise tax liability). During the six months ended June 30, 2025, the Company repurchased approximately 0.5 million shares for $60.7 million under the repurchase program (resulting in a $0.2 million excise tax liability). Share repurchases are initially recorded to treasury stock at cost. Upon retirement, the par value of the share repurchases are recorded to common stock with the excess of the purchase price over par first recorded against any available additional paid in capital (“APIC”) and the balance recorded to retained earnings. Due to the volume of share repurchases under the authorized share repurchase program during the six months ended June 30, 2026, the Company has no remaining balance in APIC as of June 30, 2026. All repurchased shares have been retired and, as of June 30, 2026, $328.7 million remained available under the Board-approved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customers into segments and geographical regions. Revenue disaggregated by segment and geographical region was as follows:</w:t>
      </w:r>
    </w:p>
    <w:tbl>
      <w:tblPr>
        <w:tblW w:w="8663" w:type="dxa"/>
        <w:jc w:val="center"/>
        <w:tblInd w:w="0" w:type="dxa"/>
        <w:tblLayout w:type="fixed"/>
        <w:tblCellMar>
          <w:top w:w="28" w:type="dxa"/>
          <w:left w:w="28" w:type="dxa"/>
          <w:bottom w:w="28" w:type="dxa"/>
          <w:right w:w="28" w:type="dxa"/>
        </w:tblCellMar>
      </w:tblPr>
      <w:tblGrid>
        <w:gridCol w:w="1013"/>
        <w:gridCol w:w="894"/>
        <w:gridCol w:w="898"/>
        <w:gridCol w:w="211"/>
        <w:gridCol w:w="826"/>
        <w:gridCol w:w="109"/>
        <w:gridCol w:w="109"/>
        <w:gridCol w:w="109"/>
        <w:gridCol w:w="109"/>
        <w:gridCol w:w="211"/>
        <w:gridCol w:w="826"/>
        <w:gridCol w:w="109"/>
        <w:gridCol w:w="109"/>
        <w:gridCol w:w="109"/>
        <w:gridCol w:w="109"/>
        <w:gridCol w:w="282"/>
        <w:gridCol w:w="966"/>
        <w:gridCol w:w="146"/>
        <w:gridCol w:w="109"/>
        <w:gridCol w:w="109"/>
        <w:gridCol w:w="109"/>
        <w:gridCol w:w="211"/>
        <w:gridCol w:w="826"/>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North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North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28,633 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3" w:type="dxa"/>
        <w:jc w:val="center"/>
        <w:tblInd w:w="0" w:type="dxa"/>
        <w:tblLayout w:type="fixed"/>
        <w:tblCellMar>
          <w:top w:w="28" w:type="dxa"/>
          <w:left w:w="28" w:type="dxa"/>
          <w:bottom w:w="28" w:type="dxa"/>
          <w:right w:w="28" w:type="dxa"/>
        </w:tblCellMar>
      </w:tblPr>
      <w:tblGrid>
        <w:gridCol w:w="937"/>
        <w:gridCol w:w="827"/>
        <w:gridCol w:w="831"/>
        <w:gridCol w:w="211"/>
        <w:gridCol w:w="976"/>
        <w:gridCol w:w="109"/>
        <w:gridCol w:w="109"/>
        <w:gridCol w:w="109"/>
        <w:gridCol w:w="109"/>
        <w:gridCol w:w="211"/>
        <w:gridCol w:w="826"/>
        <w:gridCol w:w="109"/>
        <w:gridCol w:w="109"/>
        <w:gridCol w:w="109"/>
        <w:gridCol w:w="109"/>
        <w:gridCol w:w="282"/>
        <w:gridCol w:w="966"/>
        <w:gridCol w:w="146"/>
        <w:gridCol w:w="109"/>
        <w:gridCol w:w="109"/>
        <w:gridCol w:w="109"/>
        <w:gridCol w:w="211"/>
        <w:gridCol w:w="97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North America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55,214 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North America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55,001 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classification “North America” is comprised of the Company’s operations in the United States (including Puerto Rico), and the classification “Outside North America” includes the Company’s operations in the United Kingdom, the Netherlands, Australia and India.</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when payments are received in advance of the Company’s performance under the contract, which is recognized as revenue as the performance obligation is satisfied. The Company recognized $258.8 million and $236.5 million as revenue during the six months ended June 30, 2026 and 2025, respectively, which was included in the deferred revenue balance at the beginning of each respective period.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does not disclose the value of unsatisfied performance obligations for contracts with an original contract term of one year or less, or for variable consideration allocated to the unsatisfied performance obligation of a series of services. The transaction price allocated to the remaining performance obligations relates to services that are paid or invoiced in advance. The Company’s remaining performance obligations not subject to the practical expedients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3. LEASES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certain of its full service and back-up early education and child care centers, corporate offices, call centers, and to a lesser extent, various office equipment, in the United States, the United Kingdom, the Netherlands, and Australia. Most of the leases expire within 10 to 15 years and many contain renewal options and/or termination provisions. As of June 30, 2026 and December 31, 2025, there were no material finance leases.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Lease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7589" w:type="dxa"/>
        <w:jc w:val="center"/>
        <w:tblInd w:w="0" w:type="dxa"/>
        <w:tblLayout w:type="fixed"/>
        <w:tblCellMar>
          <w:top w:w="28" w:type="dxa"/>
          <w:left w:w="28" w:type="dxa"/>
          <w:bottom w:w="28" w:type="dxa"/>
          <w:right w:w="28" w:type="dxa"/>
        </w:tblCellMar>
      </w:tblPr>
      <w:tblGrid>
        <w:gridCol w:w="831"/>
        <w:gridCol w:w="729"/>
        <w:gridCol w:w="73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Operating lease expense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Variable lease expense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18"/>
        </w:rPr>
      </w:pPr>
      <w:r>
        <w:rPr>
          <w:rFonts w:ascii="Times New Roman;serif" w:hAnsi="Times New Roman;serif"/>
          <w:b w:val="false"/>
          <w:color w:val="000000"/>
          <w:sz w:val="18"/>
        </w:rPr>
        <w:t>(1) Excludes short-term lease expense and sublease income, which were immaterial for the periods presented.</w:t>
      </w:r>
    </w:p>
    <w:p>
      <w:pPr>
        <w:pStyle w:val="TextBody"/>
        <w:bidi w:val="0"/>
        <w:spacing w:lineRule="auto" w:line="288" w:before="120" w:after="120"/>
        <w:jc w:val="left"/>
        <w:rPr/>
      </w:pPr>
      <w:r>
        <w:rPr>
          <w:rFonts w:ascii="Times New Roman;serif" w:hAnsi="Times New Roman;serif"/>
          <w:b w:val="false"/>
          <w:color w:val="000000"/>
          <w:sz w:val="20"/>
        </w:rPr>
        <w:t xml:space="preserve">Operating lease expense for the three months ended June 30, 2026 includes impairment losses on operating lease right-of-use assets of $11.1 million. Refer to Note 9, </w:t>
      </w:r>
      <w:r>
        <w:rPr>
          <w:rFonts w:ascii="Times New Roman;serif" w:hAnsi="Times New Roman;serif"/>
          <w:b w:val="false"/>
          <w:i/>
          <w:color w:val="000000"/>
          <w:sz w:val="20"/>
        </w:rPr>
        <w:t>Fair Value Measurements</w:t>
      </w:r>
      <w:r>
        <w:rPr>
          <w:rFonts w:ascii="Times New Roman;serif" w:hAnsi="Times New Roman;serif"/>
          <w:b w:val="false"/>
          <w:color w:val="000000"/>
          <w:sz w:val="20"/>
        </w:rPr>
        <w:t xml:space="preserve">, and Note 11, </w:t>
      </w:r>
      <w:r>
        <w:rPr>
          <w:rFonts w:ascii="Times New Roman;serif" w:hAnsi="Times New Roman;serif"/>
          <w:b w:val="false"/>
          <w:i/>
          <w:color w:val="000000"/>
          <w:sz w:val="20"/>
        </w:rPr>
        <w:t>Segment Information</w:t>
      </w:r>
      <w:r>
        <w:rPr>
          <w:rFonts w:ascii="Times New Roman;serif" w:hAnsi="Times New Roman;serif"/>
          <w:b w:val="false"/>
          <w:color w:val="000000"/>
          <w:sz w:val="20"/>
        </w:rPr>
        <w:t>, for additional information.</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the weighted average discount rate were as follows:</w:t>
      </w:r>
    </w:p>
    <w:tbl>
      <w:tblPr>
        <w:tblW w:w="7105" w:type="dxa"/>
        <w:jc w:val="center"/>
        <w:tblInd w:w="0" w:type="dxa"/>
        <w:tblLayout w:type="fixed"/>
        <w:tblCellMar>
          <w:top w:w="28" w:type="dxa"/>
          <w:left w:w="28" w:type="dxa"/>
          <w:bottom w:w="28" w:type="dxa"/>
          <w:right w:w="28" w:type="dxa"/>
        </w:tblCellMar>
      </w:tblPr>
      <w:tblGrid>
        <w:gridCol w:w="1486"/>
        <w:gridCol w:w="1308"/>
        <w:gridCol w:w="1316"/>
        <w:gridCol w:w="374"/>
        <w:gridCol w:w="374"/>
        <w:gridCol w:w="376"/>
        <w:gridCol w:w="109"/>
        <w:gridCol w:w="109"/>
        <w:gridCol w:w="109"/>
        <w:gridCol w:w="452"/>
        <w:gridCol w:w="452"/>
        <w:gridCol w:w="640"/>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bl>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Maturity of Lease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maturity of lease liabilities as of June 30, 2026:</w:t>
      </w:r>
    </w:p>
    <w:tbl>
      <w:tblPr>
        <w:tblW w:w="5534" w:type="dxa"/>
        <w:jc w:val="center"/>
        <w:tblInd w:w="0" w:type="dxa"/>
        <w:tblLayout w:type="fixed"/>
        <w:tblCellMar>
          <w:top w:w="28" w:type="dxa"/>
          <w:left w:w="28" w:type="dxa"/>
          <w:bottom w:w="28" w:type="dxa"/>
          <w:right w:w="28" w:type="dxa"/>
        </w:tblCellMar>
      </w:tblPr>
      <w:tblGrid>
        <w:gridCol w:w="1466"/>
        <w:gridCol w:w="1286"/>
        <w:gridCol w:w="1297"/>
        <w:gridCol w:w="263"/>
        <w:gridCol w:w="1030"/>
        <w:gridCol w:w="192"/>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1,050,484 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(283,083)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767,401 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liabilities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656,996 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not entered into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growth strategy includes expansion through strategic and synergistic acquisitions. The goodwill resulting from these acquisitions arises largely from synergies expected from combining the operations of the businesses acquired with the Company’s existing operations, including cost efficiencies and leveraging existing client relationships, as well as from benefits derived from gaining the related assembled workforce.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2025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acquired three centers in the United Kingdom in two separate business acquisitions, which were each accounted for as a business combination. The businesses were acquired for aggregate cash consideration of $6.8 million, net of $0.3 million cash acquired, and $0.1 million of deferred consideration, and are subject to adjustments from the settlement of the final working capital. The Company recorded goodwill of $4.9 million related to the full service center-based child care segment for these acquisitions, which will not be deductible for tax purposes. In addition, the Company recorded intangible assets of $0.5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determination and allocation of purchase price consideration is based on preliminary estimates of fair value; such estimates and assumptions are subject to change within the measurement period (up to one year from the acquisition date). As of June 30, 2026, the purchase price allocation for one of these acquisitions remains open as the Company gathers additional information regarding the assets acquired and the liabilities assumed. The operating results for the acquired businesses are included in the consolidated results of operations from the date of acquisition and were not material to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were as follows:</w:t>
      </w:r>
    </w:p>
    <w:tbl>
      <w:tblPr>
        <w:tblW w:w="9367" w:type="dxa"/>
        <w:jc w:val="center"/>
        <w:tblInd w:w="0" w:type="dxa"/>
        <w:tblLayout w:type="fixed"/>
        <w:tblCellMar>
          <w:top w:w="28" w:type="dxa"/>
          <w:left w:w="28" w:type="dxa"/>
          <w:bottom w:w="28" w:type="dxa"/>
          <w:right w:w="28" w:type="dxa"/>
        </w:tblCellMar>
      </w:tblPr>
      <w:tblGrid>
        <w:gridCol w:w="1163"/>
        <w:gridCol w:w="1019"/>
        <w:gridCol w:w="1027"/>
        <w:gridCol w:w="211"/>
        <w:gridCol w:w="976"/>
        <w:gridCol w:w="109"/>
        <w:gridCol w:w="109"/>
        <w:gridCol w:w="109"/>
        <w:gridCol w:w="109"/>
        <w:gridCol w:w="211"/>
        <w:gridCol w:w="826"/>
        <w:gridCol w:w="109"/>
        <w:gridCol w:w="109"/>
        <w:gridCol w:w="109"/>
        <w:gridCol w:w="109"/>
        <w:gridCol w:w="282"/>
        <w:gridCol w:w="966"/>
        <w:gridCol w:w="146"/>
        <w:gridCol w:w="109"/>
        <w:gridCol w:w="109"/>
        <w:gridCol w:w="109"/>
        <w:gridCol w:w="211"/>
        <w:gridCol w:w="97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prior year 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 xml:space="preserve">During the three months ended June 30, 2026, the Company identified certain indicators of potential impairment, therefore an interim test for goodwill impairment was performed as of June 30, 2026. For an immaterial foreign reporting unit specializing in tutoring services, the fair value was less than its book value, and therefore, the Company recognized goodwill impairment of $6.3 million. The inputs to the fair value are defined in the fair value hierarchy as level 3 due to the lack of observable inputs used in the model. Refer to Note 9, </w:t>
      </w:r>
      <w:r>
        <w:rPr>
          <w:rFonts w:ascii="Times New Roman;serif" w:hAnsi="Times New Roman;serif"/>
          <w:b w:val="false"/>
          <w:i/>
          <w:color w:val="000000"/>
          <w:sz w:val="20"/>
        </w:rPr>
        <w:t>Fair Value Measurements</w:t>
      </w:r>
      <w:r>
        <w:rPr>
          <w:rFonts w:ascii="Times New Roman;serif" w:hAnsi="Times New Roman;serif"/>
          <w:b w:val="false"/>
          <w:color w:val="000000"/>
          <w:sz w:val="20"/>
        </w:rPr>
        <w:t>, and Note 11,</w:t>
      </w:r>
      <w:r>
        <w:rPr>
          <w:color w:val="000000"/>
        </w:rPr>
        <w:t xml:space="preserve"> </w:t>
      </w:r>
      <w:r>
        <w:rPr>
          <w:rFonts w:ascii="Times New Roman;serif" w:hAnsi="Times New Roman;serif"/>
          <w:b w:val="false"/>
          <w:i/>
          <w:color w:val="000000"/>
          <w:sz w:val="20"/>
        </w:rPr>
        <w:t>Segment Information</w:t>
      </w:r>
      <w:r>
        <w:rPr>
          <w:rFonts w:ascii="Times New Roman;serif" w:hAnsi="Times New Roman;serif"/>
          <w:b w:val="false"/>
          <w:color w:val="000000"/>
          <w:sz w:val="20"/>
        </w:rPr>
        <w:t>, for additional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has intangible assets, which consisted of the following as of June 30, 2026 and December 31, 2025:</w:t>
      </w:r>
    </w:p>
    <w:tbl>
      <w:tblPr>
        <w:tblW w:w="7497" w:type="dxa"/>
        <w:jc w:val="center"/>
        <w:tblInd w:w="0" w:type="dxa"/>
        <w:tblLayout w:type="fixed"/>
        <w:tblCellMar>
          <w:top w:w="28" w:type="dxa"/>
          <w:left w:w="28" w:type="dxa"/>
          <w:bottom w:w="28" w:type="dxa"/>
          <w:right w:w="28" w:type="dxa"/>
        </w:tblCellMar>
      </w:tblPr>
      <w:tblGrid>
        <w:gridCol w:w="804"/>
        <w:gridCol w:w="710"/>
        <w:gridCol w:w="714"/>
        <w:gridCol w:w="207"/>
        <w:gridCol w:w="207"/>
        <w:gridCol w:w="207"/>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w:t>
              <w:br/>
              <w:t>amount</w:t>
            </w:r>
          </w:p>
        </w:tc>
      </w:tr>
      <w:tr>
        <w:trPr/>
        <w:tc>
          <w:tcPr>
            <w:tcW w:w="2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tbl>
      <w:tblPr>
        <w:tblW w:w="7494" w:type="dxa"/>
        <w:jc w:val="center"/>
        <w:tblInd w:w="0" w:type="dxa"/>
        <w:tblLayout w:type="fixed"/>
        <w:tblCellMar>
          <w:top w:w="28" w:type="dxa"/>
          <w:left w:w="28" w:type="dxa"/>
          <w:bottom w:w="28" w:type="dxa"/>
          <w:right w:w="28" w:type="dxa"/>
        </w:tblCellMar>
      </w:tblPr>
      <w:tblGrid>
        <w:gridCol w:w="854"/>
        <w:gridCol w:w="750"/>
        <w:gridCol w:w="753"/>
        <w:gridCol w:w="163"/>
        <w:gridCol w:w="163"/>
        <w:gridCol w:w="163"/>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w:t>
              <w:br/>
              <w:t>amount</w:t>
            </w:r>
          </w:p>
        </w:tc>
      </w:tr>
      <w:tr>
        <w:trPr/>
        <w:tc>
          <w:tcPr>
            <w:tcW w:w="2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estimates that it will record amortization expense related to intangible assets existing as of June 30, 2026 as follows:</w:t>
      </w:r>
    </w:p>
    <w:tbl>
      <w:tblPr>
        <w:tblW w:w="4275" w:type="dxa"/>
        <w:jc w:val="center"/>
        <w:tblInd w:w="0" w:type="dxa"/>
        <w:tblLayout w:type="fixed"/>
        <w:tblCellMar>
          <w:top w:w="28" w:type="dxa"/>
          <w:left w:w="28" w:type="dxa"/>
          <w:bottom w:w="28" w:type="dxa"/>
          <w:right w:w="28" w:type="dxa"/>
        </w:tblCellMar>
      </w:tblPr>
      <w:tblGrid>
        <w:gridCol w:w="608"/>
        <w:gridCol w:w="534"/>
        <w:gridCol w:w="538"/>
        <w:gridCol w:w="502"/>
        <w:gridCol w:w="1722"/>
        <w:gridCol w:w="371"/>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amortization expense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6. CREDIT ARRANGEMENTS AND DEBT OBLIGATIONS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Senior Secured Credit Facilities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senior secured credit facilities consist of a term loan B facility (“term loan B”) and a term loan A facility (“term loan A” and, together with term loan B, the “term loans”), as well as a $1.0 billion multi-currency revolving credit facility (“revolving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Long-term debt obligations were as follows:</w:t>
      </w:r>
    </w:p>
    <w:tbl>
      <w:tblPr>
        <w:tblW w:w="7487" w:type="dxa"/>
        <w:jc w:val="left"/>
        <w:tblInd w:w="0" w:type="dxa"/>
        <w:tblLayout w:type="fixed"/>
        <w:tblCellMar>
          <w:top w:w="28" w:type="dxa"/>
          <w:left w:w="28" w:type="dxa"/>
          <w:bottom w:w="28" w:type="dxa"/>
          <w:right w:w="28" w:type="dxa"/>
        </w:tblCellMar>
      </w:tblPr>
      <w:tblGrid>
        <w:gridCol w:w="1564"/>
        <w:gridCol w:w="1372"/>
        <w:gridCol w:w="1384"/>
        <w:gridCol w:w="211"/>
        <w:gridCol w:w="976"/>
        <w:gridCol w:w="109"/>
        <w:gridCol w:w="109"/>
        <w:gridCol w:w="109"/>
        <w:gridCol w:w="109"/>
        <w:gridCol w:w="273"/>
        <w:gridCol w:w="1072"/>
        <w:gridCol w:w="199"/>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947,166 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747,614 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1, 2026, the Company amended its existing senior secured credit facilities to, among other changes, issue a $375 million new term loan A facility as well as increase the borrowing capacity of its revolving credit facility from $900 million to $1.0 billion. On the closing date, the proceeds of the term loan A, together with cash on hand, were used to repay outstanding borrowings under the revolving credit facility, including all outstanding interest and related fees and expenses. In conjunction with the amendment, the Company capitalized $1.8 million in fees that will be amortized over the term of the senior secured credit facilities, of which $1.4 million related to the term loan A that have been recorded as deferred financing costs in long-term debt and $0.4 million related to the revolving credit facility that have been recorded in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21, 2025, the Company amended its existing senior secured credit facilities to, among other changes, refinance the existing term loan B and to extend the maturity date. On the closing date, the Company used its revolving credit facility to prepay $50 million of the outstanding principal amount of the existing term loan B. In conjunction with the amendment, the Company recorded expense of $1.9 million and capitalized $0.2 million in fees to new lenders that have been recorded as deferred financing costs in long-term debt and will be amortized over the term of the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17, 2025, the Company amended its existing senior secured credit facilities to, among other changes, increase the borrowing capacity of its revolving credit facility from $400 million to $900 million and extend the maturity date. On the closing date, the Company used $362.5 million from its revolving credit facility to repay the outstanding balances under the previous term loan A. In conjunction with the amendment, the Company recorded expense of $0.6 million and capitalized $2.9 million in fees that have been recorded in other assets and will be amortized over the term of the 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All borrowings under the credit facilities are subject to variable interest. The effective interest rate for the term loans was 5.28% and 5.47% as of June 30, 2026 and December 31, 2025, respectively, and the weighted average interest rate was 5.40% and 6.06% for the six months ended June 30, 2026 and 2025, respectively, prior to the effects of any interest rate hedge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effective interest rate for the revolving credit facility was 4.99% and 4.96% as of June 30, 2026 and December 31, 2025, respectively, and the weighted average interest rate was 4.97% and 5.83% for the six months ended June 30, 2026 and 2025, respectively, prior to the effects of any interest rate hedge arrangements. The effective interest rate on the revolving credit facility may fluctuate from borrowing to borrowing for various reasons, including changes in the term benchmark or base interest rate, and the selected interest period as terms may vary between under-30 day and over-30 day borrowings.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Term Loan B</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noted above, the terms of the term loan B were amended on August 21,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term loan B matures on August 21, 2032. Borrowings under the amended term loan B bear interest at a rate per annum equal to the base rate plus a margin of 0.75% or the term Secured Overnight Financing Rate (“SOFR”) plus a margin of 1.75%. The term SOFR option is one, three or six month SOFR, as selected by the Company, or, with the approval of the applicable lenders, twelve months or less than one month term SOFR, subject to an interest rate floor of 0.50%. The base rate is the highest of (x) the prime rate quoted by The Wall Street Journal, (y) the greater of the federal funds rate and the overnight bank funding rate, in either case, plus 0.50%, and (z) one-month term SOFR plus 1.00%, subject to an interest rate floor of 1.50%.</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Prior to the August 2025 amendment, the term loan B required quarterly principal payments equal to 1% per annum of the aggregate principal amount of the term loan B outstanding as of December 11, 2024, the date the Company previously amended its senior secured credit facility, with the remaining principal balance due at maturity. Effective as of December 11, 2024, borrowings under the term loan B bore interest at a rate per annum of 1.00% over the base rate, or 2.00% over the selected term SOFR rate. Effective as of January 2025, borrowings under the term loan B bore interest at a rate per annum of 0.75% over the base rate, or 1.75% over the selected term SOFR rate. The base rate was subject to an interest rate floor of 1.50% and the selected term SOFR rate was subject to an interest rate floor of 0.50%.</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voluntarily prepaid $44.5 million of the outstanding principal balance on its term loan B, which satisfied the remaining annual principal payments due until maturity. In May 2025 and August 2025, the Company utilized its revolving credit facility to prepay $39.0 million and $50.0 million, respectively, of the outstanding principal balance on its term loan B to lower borrowing costs.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Term Loan 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noted above, the Company issued a $375 million term loan A facility on June 1,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term loan A matures on April 17, 2030 and requires scheduled quarterly amortization payments equal to 2.5% per annum of the original aggregate principal amount of the term loan A for the period commencing September 30, 2026 through and including June 30, 2028, increasing to 5.0% per annum thereafter through March 30, 2030. The remaining principal balance is due at maturity. Borrowings under the term loan A bear interest at a rate per annum equal to the term SOFR rate plus a margin ranging from 1.25% to 1.75% or base rate plus a margin ranging from 0.25% to 0.75%. The term SOFR option is one, three or six month SOFR, as selected by the Company, or, with the approval of the applicable lenders, twelve months or less than one month SOFR, subject to an interest rate floor of 0.00%. The base rate is the highest of (x) the prime rate quoted by The Wall Street Journal, (y) the greater of the federal funds rate and the overnight bank funding rate, in either case, plus 0.50%, and (z) one-month term SOFR plus 1.00%, subject to an interest rate floor of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noted above, balances outstanding under the previous term loan A facility were repaid on April 17, 2025 using availability under the revolving credit facility. Prior to the April 2025 debt amendment, the previous term loan A was scheduled to mature on November 23, 2026 and required quarterly principal payments equal to 2.5% per annum of the original aggregate principal amount of the previous term loan A in each of the first three years, 5.0% in the fourth year, and 7.5% in the fifth year. The remaining principal balance was due at maturity. Borrowings under the previous term loan A bore interest at a rate per annum ranging from 0.50% to 0.75% over the base rate, or 1.50% to 1.75% over the adjusted term SOFR rate. The base rate was subject to an interest rate floor of 1.00% and the adjusted term SOFR rate was subject to an interest rate floor of 0.00%.</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noted above, the terms of the revolving credit facility were amended on June 1, 2026 and April 17,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matures on April 17, 2030. However, if there is any additional material indebtedness maturing on or before April 17, 2030, the maturity date will be 91 days prior to the maturity of that material indebtedness, unless the Company satisfies a minimum liquidity threshold test as of that date. As of June 30, 2026, the Company does not hold any material indebtedness maturing on or before April 17, 2030.</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borrowings outstanding on the revolving credit facility were $459.5 million (composed of $365.0 million, €48.8 million and £29.3 million) and letters of credit outstanding were $20.2 million, with $520.1 million available for borrowing. Since the revolving credit facility has a contractual maturity in excess of 12 months from the balance sheet date and the Company has the ability and intends to renew borrowings of at least $260 million through June 30, 2027, such balance has been presented as long-term on the condensed consolidated balance sheet at June 30, 2026. As of December 31, 2025, borrowings outstanding on the revolving credit facility were $496.5 million (composed of $370.0 million, €71.8 million and £31.4 million) and letters of credit outstanding were $20.2 million, with $383.7 million available for borrowing.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Borrowings held in USD under the revolving credit facility bear interest at a rate per annum ranging from 0.25% to 0.75% over the base rate (as defined in the credit agreement), or 1.25% to 1.75% over the term SOFR rate. The base rate is subject to an interest rate floor of 1.00% and the term SOFR rate is subject to an interest rate floor of 0.00%. Prior to the April 17, 2025 amendment, borrowings under the revolving credit facility bore interest at a rate per annum ranging from 0.50% to 0.75% over the base rate, or 1.50% to 1.75% over the adjusted term SOFR rate.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Borrowings held in Euros under the revolving credit facility bear interest at a rate per annum equal to the Euro Interbank Offered Rate “Euribor” subject to an interest rate floor of 0.00% plus applicable margin between 1.25% and 1.75%. Borrowings held in British pounds under the revolving credit facility bear daily interest at a rate per annum equal to the Sterling Overnight Index Average rate, or SONIA, subject to an interest rate floor of 0.00% plus a 0.0326% spread adjustment in addition to an applicable margin between 1.25% and 1.75%.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2024, the Company entered into a AU$5 million (USD$3.3 million) uncommitted working capital credit facility in Australia for short-term borrowing purposes. In 2026, the line of credit was increased to AU$9.4 million (USD$6.5 million). As of June 30, 2026 and December 31, 2025, there were AU$9.4 million (USD$6.5 million) and AU$4.5 million (USD$3.0 million) borrowings outstanding under this facility, respectively. The effective interest rate as of June 30, 2026 and December 31, 2025 was 6.35% and 5.59%, respectively, and the weighted average interest rate for the six months ended June 30, 2026 was 6.22% for this working capital credit facility.</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All obligations under the senior secured credit facilities are secured by substantially all the assets of the Company’s material U.S. subsidiaries. The senior secured credit facilities contain a number of covenants that, among other things and subject to certain exceptions, may restrict the ability of Bright Horizons Family Solutions LLC (the “Borrower”), the Company’s wholly-owned subsidiary, and its restricted subsidiaries, to: incur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the Company’s subsidiaries; alter the business conducted; enter into agreements restricting the Company’s subsidiaries’ ability to pay dividends; and consolidate or merge.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the credit agreement governing the senior secured credit facilities requires Bright Horizons Capital Corp. (the “Guarantor”), the Company’s direct subsidiary, to be a passive holding company, subject to certain exceptions. The Company is the ultimate parent of the Guarantor and the Borrower and the Company’s material assets are held, and operations are conducted, by the Borrower and its subsidiaries. The term loan A and the revolving credit facility require the Borrower and its restricted subsidiaries to comply with a maximum first lien net leverage ratio not to exceed 4.25 to 1.00. A breach of the applicable covenant is subject to certain equity cure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future principal payments of long-term debt are as follows for the years ending December 31:</w:t>
      </w:r>
    </w:p>
    <w:tbl>
      <w:tblPr>
        <w:tblW w:w="4050" w:type="dxa"/>
        <w:jc w:val="left"/>
        <w:tblInd w:w="0" w:type="dxa"/>
        <w:tblLayout w:type="fixed"/>
        <w:tblCellMar>
          <w:top w:w="28" w:type="dxa"/>
          <w:left w:w="28" w:type="dxa"/>
          <w:bottom w:w="28" w:type="dxa"/>
          <w:right w:w="28" w:type="dxa"/>
        </w:tblCellMar>
      </w:tblPr>
      <w:tblGrid>
        <w:gridCol w:w="972"/>
        <w:gridCol w:w="853"/>
        <w:gridCol w:w="860"/>
        <w:gridCol w:w="242"/>
        <w:gridCol w:w="947"/>
        <w:gridCol w:w="17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debt</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interest rate risk as all borrowings under the senior secured credit facilities are subject to variable interest rates. The Company’s risk management policy permits using derivative instruments to manage interest rates and other risks. The Company uses interest rate caps to manage a portion of the risk related to changes in cash flows from interest rate movements.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December 2021, the Company entered into interest rate cap agreements with a total notional value of $900 million, designated and accounted for as cash flow hedges from inception. Interest rate cap agreements for $600 million, which had a forward starting effective date of October 31, 2023 and expired on October 31, 2025, provided the Company with interest rate protection in the event the one-month term SOFR rate increased above 2.4%. Interest rate cap agreements for $300 million, which had a forward starting effective date of October 31, 2023 and expire on October 31, 2026, provide the Company with interest rate protection in the event the one-month term SOFR rate increases above 2.9%.</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March and July 2025, the Company entered into additional interest rate cap agreements with a total notional value of $150 million and $100 million, respectively, designated and accounted for as cash flow hedges from inception. The March and July 2025 interest rate cap agreements, both of which had forward starting effective dates of October 31, 2025, provide the Company with interest rate protection in the event the one-month term SOFR rate increases above 3.5% and 3.0%, respectively, and expire on October 31, 2027 and October 31, 2026,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an additional interest rate cap agreement with a total notional value of $150 million, designated and accounted for as a cash flow hedge from inception. The interest rate cap agreement, which has a forward starting effective date of October 30, 2026, provides the Company with interest rate protection in the event the one-month term SOFR rate increases above 2.75%, and expires on October 31, 2027.</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financial instruments was as follows for the periods presented:</w:t>
      </w:r>
    </w:p>
    <w:tbl>
      <w:tblPr>
        <w:tblW w:w="9515" w:type="dxa"/>
        <w:jc w:val="center"/>
        <w:tblInd w:w="0" w:type="dxa"/>
        <w:tblLayout w:type="fixed"/>
        <w:tblCellMar>
          <w:top w:w="28" w:type="dxa"/>
          <w:left w:w="28" w:type="dxa"/>
          <w:bottom w:w="28" w:type="dxa"/>
          <w:right w:w="28" w:type="dxa"/>
        </w:tblCellMar>
      </w:tblPr>
      <w:tblGrid>
        <w:gridCol w:w="935"/>
        <w:gridCol w:w="820"/>
        <w:gridCol w:w="825"/>
        <w:gridCol w:w="109"/>
        <w:gridCol w:w="109"/>
        <w:gridCol w:w="109"/>
        <w:gridCol w:w="1069"/>
        <w:gridCol w:w="1069"/>
        <w:gridCol w:w="1072"/>
        <w:gridCol w:w="109"/>
        <w:gridCol w:w="109"/>
        <w:gridCol w:w="109"/>
        <w:gridCol w:w="260"/>
        <w:gridCol w:w="760"/>
        <w:gridCol w:w="134"/>
        <w:gridCol w:w="109"/>
        <w:gridCol w:w="109"/>
        <w:gridCol w:w="109"/>
        <w:gridCol w:w="342"/>
        <w:gridCol w:w="999"/>
        <w:gridCol w:w="249"/>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 -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 -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effect of the derivative financial instruments on other comprehensive income (loss) was as follows:</w:t>
      </w:r>
    </w:p>
    <w:tbl>
      <w:tblPr>
        <w:tblW w:w="10205" w:type="dxa"/>
        <w:jc w:val="center"/>
        <w:tblInd w:w="0" w:type="dxa"/>
        <w:tblLayout w:type="fixed"/>
        <w:tblCellMar>
          <w:top w:w="28" w:type="dxa"/>
          <w:left w:w="28" w:type="dxa"/>
          <w:bottom w:w="28" w:type="dxa"/>
          <w:right w:w="28" w:type="dxa"/>
        </w:tblCellMar>
      </w:tblPr>
      <w:tblGrid>
        <w:gridCol w:w="632"/>
        <w:gridCol w:w="554"/>
        <w:gridCol w:w="557"/>
        <w:gridCol w:w="109"/>
        <w:gridCol w:w="109"/>
        <w:gridCol w:w="109"/>
        <w:gridCol w:w="565"/>
        <w:gridCol w:w="1250"/>
        <w:gridCol w:w="294"/>
        <w:gridCol w:w="109"/>
        <w:gridCol w:w="109"/>
        <w:gridCol w:w="109"/>
        <w:gridCol w:w="551"/>
        <w:gridCol w:w="551"/>
        <w:gridCol w:w="552"/>
        <w:gridCol w:w="109"/>
        <w:gridCol w:w="109"/>
        <w:gridCol w:w="109"/>
        <w:gridCol w:w="351"/>
        <w:gridCol w:w="1026"/>
        <w:gridCol w:w="181"/>
        <w:gridCol w:w="109"/>
        <w:gridCol w:w="109"/>
        <w:gridCol w:w="109"/>
        <w:gridCol w:w="386"/>
        <w:gridCol w:w="1155"/>
        <w:gridCol w:w="292"/>
      </w:tblGrid>
      <w:tr>
        <w:trPr/>
        <w:tc>
          <w:tcPr>
            <w:tcW w:w="6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 of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net gain (loss) reclassified 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effect on other comprehensive income (loss)</w:t>
            </w:r>
          </w:p>
        </w:tc>
      </w:tr>
      <w:tr>
        <w:trPr/>
        <w:tc>
          <w:tcPr>
            <w:tcW w:w="1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32"/>
        <w:gridCol w:w="554"/>
        <w:gridCol w:w="557"/>
        <w:gridCol w:w="109"/>
        <w:gridCol w:w="109"/>
        <w:gridCol w:w="109"/>
        <w:gridCol w:w="474"/>
        <w:gridCol w:w="1389"/>
        <w:gridCol w:w="247"/>
        <w:gridCol w:w="109"/>
        <w:gridCol w:w="109"/>
        <w:gridCol w:w="109"/>
        <w:gridCol w:w="551"/>
        <w:gridCol w:w="551"/>
        <w:gridCol w:w="552"/>
        <w:gridCol w:w="109"/>
        <w:gridCol w:w="109"/>
        <w:gridCol w:w="109"/>
        <w:gridCol w:w="351"/>
        <w:gridCol w:w="1026"/>
        <w:gridCol w:w="181"/>
        <w:gridCol w:w="109"/>
        <w:gridCol w:w="109"/>
        <w:gridCol w:w="109"/>
        <w:gridCol w:w="386"/>
        <w:gridCol w:w="1155"/>
        <w:gridCol w:w="291"/>
      </w:tblGrid>
      <w:tr>
        <w:trPr/>
        <w:tc>
          <w:tcPr>
            <w:tcW w:w="6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 of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net gain (loss) reclassified 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effect on other comprehensive income (loss)</w:t>
            </w:r>
          </w:p>
        </w:tc>
      </w:tr>
      <w:tr>
        <w:trPr/>
        <w:tc>
          <w:tcPr>
            <w:tcW w:w="1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next 12 months, the Company estimates that a net gain of $1.0 million, pre-tax, will be reclassified from accumulated other comprehensive loss and recorded as a reduction to interest expense related to these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7. EARNINGS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basic and diluted earnings per share:</w:t>
      </w:r>
    </w:p>
    <w:tbl>
      <w:tblPr>
        <w:tblW w:w="10205" w:type="dxa"/>
        <w:jc w:val="center"/>
        <w:tblInd w:w="0" w:type="dxa"/>
        <w:tblLayout w:type="fixed"/>
        <w:tblCellMar>
          <w:top w:w="28" w:type="dxa"/>
          <w:left w:w="28" w:type="dxa"/>
          <w:bottom w:w="28" w:type="dxa"/>
          <w:right w:w="28" w:type="dxa"/>
        </w:tblCellMar>
      </w:tblPr>
      <w:tblGrid>
        <w:gridCol w:w="1596"/>
        <w:gridCol w:w="1402"/>
        <w:gridCol w:w="1419"/>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6"/>
      </w:tblGrid>
      <w:tr>
        <w:trPr/>
        <w:tc>
          <w:tcPr>
            <w:tcW w:w="15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57,319,814 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51,757,065 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57,713,111 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57,831,930 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basic and diluted earnings per share were calculated using the treasury method. Equity awards outstanding to purchase or receive 1.1 million and 0.9 million shares of common stock were excluded from diluted earnings per share for the three months ended June 30, 2026 and 2025, respectively, since their effect was anti-dilutive. Equity awards outstanding to purchase or receive 1.1 million and 1.0 million shares of common stock were excluded from diluted earnings per share for the six months ended June 30, 2026 and 2025, respectively, since their effect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38.2% and 27.4% for the three months ended June 30, 2026 and 2025, respectively, and 37.0% and 27.2% for the six months ended June 30, 2026 and 2025, respectively. The effective income tax rate may fluctuate from quarter to quarter for various reasons, including changes to income before income tax, jurisdictional mix of income before income tax, unbenefited losses, valuation allowances, jurisdictional income tax rate changes, as well as discrete items such as non-deductible transaction costs, the settlement of foreign, federal and state tax matters and the effects of excess tax benefit (shortfall tax expense) associated with the exercise or expiration of stock options and vesting of restricted stock, which is included in tax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net shortfall tax expense from stock-based compensation increased tax expense by $0.5 million and $0.1 million, respectively. During the six months ended June 30, 2026, the net shortfall tax expense from stock-based compensation increased tax expense by $3.0 million. During the six months ended June 30, 2025, the net excess tax benefit from stock-based compensation decreased tax expense by $1.3 million. For the three months ended June 30, 2026 and 2025, prior to the inclusion of the excess tax benefit (shortfall tax expense), other discrete items and unbenefited losses in certain foreign jurisdictions, the effective income tax rate approximated 27%. For the six months ended June 30, 2026 and 2025, prior to the inclusion of the excess tax benefit (shortfall tax expense), other discrete items and unbenefited losses in certain foreign jurisdictions, the effective income tax rate approximated 28% and 27%,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unrecognized tax benefits were $1.1 million and $1.0 million as of June 30, 2026 and December 31, 2025, respectively, inclusive of interest.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and its domestic subsidiaries are subject to U.S. federal income tax as well as tax in multiple state jurisdictions. U.S. federal income tax returns are typically subject to examination by the Internal Revenue Service and the statute of limitations for federal tax returns is three years. The Company’s filings for the tax years 2022 through 2024 are subject to audit based upon the federal statute of limitations.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State income tax returns are generally subject to examination for a period of three to four years after filing of the respective return. The state impact of any federal changes remains subject to examination by various states for a period of up to one year after formal notification to the states. The Company’s filings for the tax years 2021 through 2024 are subject to audit based upon the statute of limitations.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corporate income tax for its subsidiaries located in the United Kingdom, the Netherlands, Australia, India, and Puerto Rico. The tax returns for the Company’s subsidiaries located in foreign jurisdictions are subject to examination for periods ranging from one to six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Fair value measurements are classified using a three-level hierarchy, which prioritizes the inputs used to measure fair value into three levels and bases the categorization within the hierarchy upon the lowest level of input that is available and significant to the fair value measurement. The hierarchy gives the highest priority to observable inputs such as unadjusted quoted prices in active markets for identical assets or liabilities and the lowest priority to unobservable inputs. The Company uses observable inputs where relevant and whenever possible. The three levels of the hierarchy are defined as follows:</w:t>
      </w:r>
    </w:p>
    <w:p>
      <w:pPr>
        <w:pStyle w:val="TextBody"/>
        <w:bidi w:val="0"/>
        <w:spacing w:lineRule="auto" w:line="288" w:before="60" w:after="60"/>
        <w:jc w:val="left"/>
        <w:rPr>
          <w:color w:val="000000"/>
        </w:rPr>
      </w:pPr>
      <w:r>
        <w:rPr>
          <w:color w:val="000000"/>
        </w:rPr>
        <w:t>    </w:t>
      </w:r>
      <w:r>
        <w:rPr>
          <w:rFonts w:ascii="Times New Roman;serif" w:hAnsi="Times New Roman;serif"/>
          <w:b w:val="false"/>
          <w:color w:val="000000"/>
          <w:sz w:val="20"/>
        </w:rPr>
        <w:t>Level 1 — Fair value is derived using quoted prices from active markets for identical instruments.</w:t>
      </w:r>
    </w:p>
    <w:p>
      <w:pPr>
        <w:pStyle w:val="TextBody"/>
        <w:bidi w:val="0"/>
        <w:spacing w:lineRule="auto" w:line="288" w:before="60" w:after="60"/>
        <w:jc w:val="left"/>
        <w:rPr>
          <w:color w:val="000000"/>
        </w:rPr>
      </w:pPr>
      <w:r>
        <w:rPr>
          <w:color w:val="000000"/>
        </w:rPr>
        <w:t>    </w:t>
      </w:r>
      <w:r>
        <w:rPr>
          <w:rFonts w:ascii="Times New Roman;serif" w:hAnsi="Times New Roman;serif"/>
          <w:b w:val="false"/>
          <w:color w:val="000000"/>
          <w:sz w:val="20"/>
        </w:rPr>
        <w:t>Level 2 — Fair value is derived using quoted prices for similar instruments from active markets or for identical or similar instruments in markets that are not active; or, fair value is based on model-derived valuations in which all significant inputs and significant value drivers are observable from active markets.</w:t>
      </w:r>
    </w:p>
    <w:p>
      <w:pPr>
        <w:pStyle w:val="TextBody"/>
        <w:bidi w:val="0"/>
        <w:spacing w:lineRule="auto" w:line="288" w:before="60" w:after="60"/>
        <w:jc w:val="left"/>
        <w:rPr>
          <w:color w:val="000000"/>
        </w:rPr>
      </w:pPr>
      <w:r>
        <w:rPr>
          <w:color w:val="000000"/>
        </w:rPr>
        <w:t>    </w:t>
      </w:r>
      <w:r>
        <w:rPr>
          <w:rFonts w:ascii="Times New Roman;serif" w:hAnsi="Times New Roman;serif"/>
          <w:b w:val="false"/>
          <w:color w:val="000000"/>
          <w:sz w:val="20"/>
        </w:rPr>
        <w:t>Level 3 — Fair value is derived from valuation techniques in which one or more significant inputs or significant value drivers are unobservable.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restricted cash, accounts receivable, and accounts payable and accrued expenses approximate their fair values due to their short-term nature.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mainly of cash and accounts receivable. The Company mitigates its exposure by maintaining its cash in financial institutions of high credit standing. The Company’s accounts receivable are derived primarily from the services it provides, and the related credit risk is dispersed across many clients in various industries with no single client accounting for more than 10% of the Company’s net revenue or accounts receivable. No significant credit concentration risk existed as of June 30, 2026.</w:t>
      </w:r>
    </w:p>
    <w:p>
      <w:pPr>
        <w:pStyle w:val="TextBody"/>
        <w:bidi w:val="0"/>
        <w:spacing w:lineRule="auto" w:line="288" w:before="120" w:after="120"/>
        <w:jc w:val="left"/>
        <w:rPr/>
      </w:pPr>
      <w:r>
        <w:rPr>
          <w:rFonts w:ascii="Times New Roman;serif" w:hAnsi="Times New Roman;serif"/>
          <w:b/>
          <w:color w:val="000000"/>
          <w:sz w:val="20"/>
        </w:rPr>
        <w:t xml:space="preserve">Long-term Debt </w:t>
      </w:r>
      <w:r>
        <w:rPr>
          <w:color w:val="000000"/>
        </w:rPr>
        <w:t xml:space="preserve">— </w:t>
      </w:r>
      <w:r>
        <w:rPr>
          <w:rFonts w:ascii="Times New Roman;serif" w:hAnsi="Times New Roman;serif"/>
          <w:b w:val="false"/>
          <w:color w:val="000000"/>
          <w:sz w:val="20"/>
        </w:rPr>
        <w:t>The Company’s term loans are recorded at adjusted cost, net of original issue discounts and deferred financing costs. The fair value of the Company’s term loans is based on current bid prices or prices for similar instruments from active markets and is classified as Level 2. The Company's revolving credit facility is recorded at cost, and its fair value is classified as Level 2. As of June 30, 2026 and December 31, 2025, the estimated fair value approximated the carrying value of the total long-term debt.</w:t>
      </w:r>
    </w:p>
    <w:p>
      <w:pPr>
        <w:pStyle w:val="TextBody"/>
        <w:bidi w:val="0"/>
        <w:spacing w:lineRule="auto" w:line="288" w:before="120" w:after="120"/>
        <w:jc w:val="left"/>
        <w:rPr/>
      </w:pPr>
      <w:r>
        <w:rPr>
          <w:rFonts w:ascii="Times New Roman;serif" w:hAnsi="Times New Roman;serif"/>
          <w:b/>
          <w:color w:val="000000"/>
          <w:sz w:val="20"/>
        </w:rPr>
        <w:t xml:space="preserve">Derivative Financial Instruments </w:t>
      </w:r>
      <w:r>
        <w:rPr>
          <w:color w:val="000000"/>
        </w:rPr>
        <w:t xml:space="preserve">— </w:t>
      </w:r>
      <w:r>
        <w:rPr>
          <w:rFonts w:ascii="Times New Roman;serif" w:hAnsi="Times New Roman;serif"/>
          <w:b w:val="false"/>
          <w:color w:val="000000"/>
          <w:sz w:val="20"/>
        </w:rPr>
        <w:t>The Company’s derivative financial instruments, comprised of interest rate cap agreements, are recorded at fair value and estimated using market-standard valuation models. Such models project future cash flows and discount the future amounts to a present value using market-based observable inputs. Additionally, the fair value of the interest rate caps included consideration of credit risk. The Company used a potential future exposure model to estimate this credit valuation adjustment (“CVA”). The inputs to the CVA were largely based on observable market data, with the exception of certain assumptions regarding credit worthiness. As the magnitude of the CVA was not a significant component of the fair value of the interest rate caps, it was not considered a significant input. The fair value of the interest rate caps is classified as Level 2. As of June 30, 2026, the fair value of the interest rate cap agreements was $4.1 million, of which $1.1 million was recorded in prepaid expenses and other current assets and $3.0 million was recorded in other assets on the consolidated balance sheet. As of December 31, 2025, the fair value of the interest rate cap agreements was $2.2 million, of which $1.8 million was recorded in prepaid expenses and other current assets and $0.4 million was recorded in other assets on the consolidated balance sheet.</w:t>
      </w:r>
    </w:p>
    <w:p>
      <w:pPr>
        <w:pStyle w:val="TextBody"/>
        <w:bidi w:val="0"/>
        <w:spacing w:lineRule="auto" w:line="288" w:before="120" w:after="120"/>
        <w:jc w:val="left"/>
        <w:rPr/>
      </w:pPr>
      <w:r>
        <w:rPr>
          <w:rFonts w:ascii="Times New Roman;serif" w:hAnsi="Times New Roman;serif"/>
          <w:b/>
          <w:color w:val="000000"/>
          <w:sz w:val="20"/>
        </w:rPr>
        <w:t xml:space="preserve">Debt Securities </w:t>
      </w:r>
      <w:r>
        <w:rPr>
          <w:color w:val="000000"/>
        </w:rPr>
        <w:t xml:space="preserve">— </w:t>
      </w:r>
      <w:r>
        <w:rPr>
          <w:rFonts w:ascii="Times New Roman;serif" w:hAnsi="Times New Roman;serif"/>
          <w:b w:val="false"/>
          <w:color w:val="000000"/>
          <w:sz w:val="20"/>
        </w:rPr>
        <w:t>The Company’s investments in debt securities, which are classified as available-for-sale, primarily consist of U.S. Treasury and U.S. government agency securities, corporate bonds and certificates of deposits. These securities are held in escrow by the Company’s wholly-owned captive insurance company and were purchased with restricted cash. As such, these securities are not available to fund the Company’s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Debt securities are recorded at fair value. As of June 30, 2026, the fair value of the available-for-sale debt securities was $39.5 million and was classified based on the instruments’ maturity dates, with $13.4 million included in prepaid expenses and other current assets and $26.1 million in other assets on the consolidated balance sheet. As of December 31, 2025, the fair value of the available-for-sale debt securities was $39.5 million, with $15.4 million included in prepaid expenses and other current assets and $24.1 million in other assets on the consolidated balance sheet. As of June 30, 2026, debt securities classified as Level 1 and Level 2 had a fair value of $29.1 million and $10.4 million, respectively. As of December 31, 2025, debt securities classified as Level 1 and Level 2 had a fair value of $30.9 million and $8.6 million,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amortized cost was $39.6 million and $39.3 million, respectively. The debt securities held at June 30, 2026 had remaining contractual maturities ranging from less than one year to approximately five years. Unrealized gains and losses, net of tax, on available-for-sale debt securities were immaterial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pPr>
      <w:r>
        <w:rPr>
          <w:rFonts w:ascii="Times New Roman;serif" w:hAnsi="Times New Roman;serif"/>
          <w:b/>
          <w:color w:val="000000"/>
          <w:sz w:val="20"/>
        </w:rPr>
        <w:t xml:space="preserve">Nonrecurring Fair Value Estimates </w:t>
      </w:r>
      <w:r>
        <w:rPr>
          <w:color w:val="000000"/>
        </w:rPr>
        <w:t xml:space="preserve">— </w:t>
      </w:r>
      <w:r>
        <w:rPr>
          <w:rFonts w:ascii="Times New Roman;serif" w:hAnsi="Times New Roman;serif"/>
          <w:b w:val="false"/>
          <w:color w:val="000000"/>
          <w:sz w:val="20"/>
        </w:rPr>
        <w:t>During the three months ended June 30, 2026, the Company recognized impairment losses of $19.1 million. This includes $12.8 million primarily related to operating lease right-of-use assets and fixed assets, and $6.3 million of goodwill, in its full service center-based child care segment. The Company continues to monitor developments in certain markets which could lead to future impairment.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applicable long-lived assets was based on the fair value of the asset groups, calculated using a discounted cash flow model, with unobservable inputs. The fair value of the fixed assets was insignificant given the current and expected cash flows for the related centers and the valuation of the lease right-of-use-assets considered the amount a market participant would pay for use of the asset. The Company classified the long-lived assets as a Level 3 fair value measurement due to the lack of observable inputs used in the model.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performing the quantitative analysis for goodwill, the Company compares the fair value of the reporting unit with its carrying amount. Fair value for each reporting unit is determined by estimating the present value of expected future cash flows, which are forecasted for each of the next 15 years, applying a long-term growth rate to the final year, discounted using the applicable discount rate.</w:t>
      </w:r>
    </w:p>
    <w:p>
      <w:pPr>
        <w:pStyle w:val="TextBody"/>
        <w:bidi w:val="0"/>
        <w:spacing w:lineRule="auto" w:line="288" w:before="120" w:after="120"/>
        <w:jc w:val="left"/>
        <w:rPr/>
      </w:pPr>
      <w:r>
        <w:rPr>
          <w:rFonts w:ascii="Times New Roman;serif" w:hAnsi="Times New Roman;serif"/>
          <w:b w:val="false"/>
          <w:color w:val="000000"/>
          <w:sz w:val="20"/>
        </w:rPr>
        <w:t xml:space="preserve">Refer to Note 3, </w:t>
      </w:r>
      <w:r>
        <w:rPr>
          <w:rFonts w:ascii="Times New Roman;serif" w:hAnsi="Times New Roman;serif"/>
          <w:b w:val="false"/>
          <w:i/>
          <w:color w:val="000000"/>
          <w:sz w:val="20"/>
        </w:rPr>
        <w:t>Leases</w:t>
      </w:r>
      <w:r>
        <w:rPr>
          <w:rFonts w:ascii="Times New Roman;serif" w:hAnsi="Times New Roman;serif"/>
          <w:b w:val="false"/>
          <w:color w:val="000000"/>
          <w:sz w:val="20"/>
        </w:rPr>
        <w:t xml:space="preserve">, Note 5,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xml:space="preserve">, and Note 11, </w:t>
      </w:r>
      <w:r>
        <w:rPr>
          <w:rFonts w:ascii="Times New Roman;serif" w:hAnsi="Times New Roman;serif"/>
          <w:b w:val="false"/>
          <w:i/>
          <w:color w:val="000000"/>
          <w:sz w:val="20"/>
        </w:rPr>
        <w:t>Segment Information</w:t>
      </w:r>
      <w:r>
        <w:rPr>
          <w:rFonts w:ascii="Times New Roman;serif" w:hAnsi="Times New Roman;serif"/>
          <w:b w:val="false"/>
          <w:color w:val="000000"/>
          <w:sz w:val="20"/>
        </w:rPr>
        <w:t>, for additional information about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10. ACCUMULATED OTHER COMPREHENSIVE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which is included as a component of stockholders’ equity, is comprised of foreign currency translation adjustments and unrealized gains (losses) on cash flow hedges and investments, net of tax.</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were as follows:</w:t>
      </w:r>
    </w:p>
    <w:tbl>
      <w:tblPr>
        <w:tblW w:w="10205" w:type="dxa"/>
        <w:jc w:val="center"/>
        <w:tblInd w:w="0" w:type="dxa"/>
        <w:tblLayout w:type="fixed"/>
        <w:tblCellMar>
          <w:top w:w="28" w:type="dxa"/>
          <w:left w:w="28" w:type="dxa"/>
          <w:bottom w:w="28" w:type="dxa"/>
          <w:right w:w="28" w:type="dxa"/>
        </w:tblCellMar>
      </w:tblPr>
      <w:tblGrid>
        <w:gridCol w:w="1561"/>
        <w:gridCol w:w="1135"/>
        <w:gridCol w:w="1090"/>
        <w:gridCol w:w="287"/>
        <w:gridCol w:w="1081"/>
        <w:gridCol w:w="148"/>
        <w:gridCol w:w="109"/>
        <w:gridCol w:w="109"/>
        <w:gridCol w:w="109"/>
        <w:gridCol w:w="308"/>
        <w:gridCol w:w="902"/>
        <w:gridCol w:w="159"/>
        <w:gridCol w:w="109"/>
        <w:gridCol w:w="109"/>
        <w:gridCol w:w="109"/>
        <w:gridCol w:w="381"/>
        <w:gridCol w:w="842"/>
        <w:gridCol w:w="197"/>
        <w:gridCol w:w="109"/>
        <w:gridCol w:w="109"/>
        <w:gridCol w:w="109"/>
        <w:gridCol w:w="211"/>
        <w:gridCol w:w="760"/>
        <w:gridCol w:w="162"/>
      </w:tblGrid>
      <w:tr>
        <w:trPr/>
        <w:tc>
          <w:tcPr>
            <w:tcW w:w="156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Foreign currency</w:t>
            </w:r>
          </w:p>
          <w:p>
            <w:pPr>
              <w:pStyle w:val="TableContents"/>
              <w:bidi w:val="0"/>
              <w:spacing w:lineRule="auto" w:line="240" w:before="0" w:after="0"/>
              <w:jc w:val="center"/>
              <w:rPr/>
            </w:pPr>
            <w:r>
              <w:rPr>
                <w:rFonts w:ascii="Times New Roman;serif" w:hAnsi="Times New Roman;serif"/>
                <w:b/>
                <w:color w:val="000000"/>
                <w:sz w:val="18"/>
              </w:rPr>
              <w:t>translation adjustments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(loss) on</w:t>
              <w:b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(loss) on</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 net of tax</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reclassified from accumulated other comprehensive income — net of tax</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(45,241)</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(44,173)</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4"/>
        <w:gridCol w:w="1106"/>
        <w:gridCol w:w="1059"/>
        <w:gridCol w:w="271"/>
        <w:gridCol w:w="1121"/>
        <w:gridCol w:w="139"/>
        <w:gridCol w:w="109"/>
        <w:gridCol w:w="109"/>
        <w:gridCol w:w="109"/>
        <w:gridCol w:w="305"/>
        <w:gridCol w:w="892"/>
        <w:gridCol w:w="157"/>
        <w:gridCol w:w="109"/>
        <w:gridCol w:w="109"/>
        <w:gridCol w:w="109"/>
        <w:gridCol w:w="377"/>
        <w:gridCol w:w="833"/>
        <w:gridCol w:w="195"/>
        <w:gridCol w:w="109"/>
        <w:gridCol w:w="109"/>
        <w:gridCol w:w="109"/>
        <w:gridCol w:w="211"/>
        <w:gridCol w:w="864"/>
        <w:gridCol w:w="160"/>
      </w:tblGrid>
      <w:tr>
        <w:trPr/>
        <w:tc>
          <w:tcPr>
            <w:tcW w:w="153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Foreign currency</w:t>
            </w:r>
          </w:p>
          <w:p>
            <w:pPr>
              <w:pStyle w:val="TableContents"/>
              <w:bidi w:val="0"/>
              <w:spacing w:lineRule="auto" w:line="240" w:before="0" w:after="0"/>
              <w:jc w:val="center"/>
              <w:rPr/>
            </w:pPr>
            <w:r>
              <w:rPr>
                <w:rFonts w:ascii="Times New Roman;serif" w:hAnsi="Times New Roman;serif"/>
                <w:b/>
                <w:color w:val="000000"/>
                <w:sz w:val="18"/>
              </w:rPr>
              <w:t>translation adjustments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(loss) on</w:t>
              <w:b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(loss) on</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 net of tax</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reclassified from accumulated other comprehensive income — net of tax</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3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(38,782)</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(35,455)</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(1)Taxes are not provided for the currency translation adjustments related to the undistributed earnings of foreign subsidiaries that are intended to be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comprised of (1) full service center-based child care, (2) back-up care, and (3) educational advisory services. The full service center-based child care segment includes traditional center-based early education and child care, preschool, and elementary education. The Company’s back-up care segment consists of center-based back-up child care, in-home care for children and seniors, school-age programs (including camps and tutoring), pet care, self-sourced reimbursed care, and Sittercity, an online marketplace for families and caregivers. The Company’s educational advisory services segment consists of tuition assistance and student loan repayment program management, workforce education, related educational advising, and college admissions counseling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Intercompany activity is eliminated in the segment results. The assets and liabilities of the Company are managed centrally and are reported internally in the same manner as the consolidated financial statements; therefore, no segment asset information is produced or included herein.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cost of services, other segment items and income from operations by reportable segment were as follows:</w:t>
      </w:r>
    </w:p>
    <w:tbl>
      <w:tblPr>
        <w:tblW w:w="9524" w:type="dxa"/>
        <w:jc w:val="center"/>
        <w:tblInd w:w="0" w:type="dxa"/>
        <w:tblLayout w:type="fixed"/>
        <w:tblCellMar>
          <w:top w:w="28" w:type="dxa"/>
          <w:left w:w="28" w:type="dxa"/>
          <w:bottom w:w="28" w:type="dxa"/>
          <w:right w:w="28" w:type="dxa"/>
        </w:tblCellMar>
      </w:tblPr>
      <w:tblGrid>
        <w:gridCol w:w="1072"/>
        <w:gridCol w:w="946"/>
        <w:gridCol w:w="951"/>
        <w:gridCol w:w="211"/>
        <w:gridCol w:w="826"/>
        <w:gridCol w:w="109"/>
        <w:gridCol w:w="109"/>
        <w:gridCol w:w="109"/>
        <w:gridCol w:w="109"/>
        <w:gridCol w:w="211"/>
        <w:gridCol w:w="826"/>
        <w:gridCol w:w="109"/>
        <w:gridCol w:w="109"/>
        <w:gridCol w:w="109"/>
        <w:gridCol w:w="109"/>
        <w:gridCol w:w="282"/>
        <w:gridCol w:w="966"/>
        <w:gridCol w:w="146"/>
        <w:gridCol w:w="109"/>
        <w:gridCol w:w="109"/>
        <w:gridCol w:w="109"/>
        <w:gridCol w:w="211"/>
        <w:gridCol w:w="826"/>
        <w:gridCol w:w="851"/>
      </w:tblGrid>
      <w:tr>
        <w:trPr/>
        <w:tc>
          <w:tcPr>
            <w:tcW w:w="10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779,178 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590,215 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109,146 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r>
              <w:rPr>
                <w:rFonts w:ascii="Times New Roman;serif" w:hAnsi="Times New Roman;serif"/>
                <w:b w:val="false"/>
                <w:color w:val="000000"/>
                <w:sz w:val="20"/>
              </w:rPr>
              <w:t xml:space="preserve">Income from operations </w:t>
            </w:r>
            <w:r>
              <w:rPr>
                <w:rFonts w:ascii="Times New Roman;serif" w:hAnsi="Times New Roman;serif"/>
                <w:b w:val="false"/>
                <w:color w:val="000000"/>
                <w:sz w:val="13"/>
              </w:rPr>
              <w:t>(2)</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79,817 </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65,794 </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549,020 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96,498 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75,497 </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(1)Other segment items for each reportable segment includes selling, general and administrative expenses and amortization expense.</w:t>
      </w:r>
    </w:p>
    <w:p>
      <w:pPr>
        <w:pStyle w:val="TextBody"/>
        <w:bidi w:val="0"/>
        <w:spacing w:lineRule="auto" w:line="288" w:before="60" w:after="60"/>
        <w:ind w:left="0" w:right="0" w:hanging="360"/>
        <w:jc w:val="left"/>
        <w:rPr/>
      </w:pPr>
      <w:r>
        <w:rPr>
          <w:rFonts w:ascii="Times New Roman;serif" w:hAnsi="Times New Roman;serif"/>
          <w:b w:val="false"/>
          <w:color w:val="000000"/>
          <w:sz w:val="18"/>
        </w:rPr>
        <w:t xml:space="preserve">(2)For the three months ended June 30, 2026, income from operations includes $19.1 million of impairment losses related to the full service center-based child care segment, of which $12.8 million was recorded to cost of services and $6.3 million was recorded to selling, general and administrative expenses. Refer to Note 3, </w:t>
      </w:r>
      <w:r>
        <w:rPr>
          <w:rFonts w:ascii="Times New Roman;serif" w:hAnsi="Times New Roman;serif"/>
          <w:b w:val="false"/>
          <w:i/>
          <w:color w:val="000000"/>
          <w:sz w:val="18"/>
        </w:rPr>
        <w:t>Leases</w:t>
      </w:r>
      <w:r>
        <w:rPr>
          <w:rFonts w:ascii="Times New Roman;serif" w:hAnsi="Times New Roman;serif"/>
          <w:b w:val="false"/>
          <w:color w:val="000000"/>
          <w:sz w:val="18"/>
        </w:rPr>
        <w:t xml:space="preserve">, Note 5, </w:t>
      </w:r>
      <w:r>
        <w:rPr>
          <w:rFonts w:ascii="Times New Roman;serif" w:hAnsi="Times New Roman;serif"/>
          <w:b w:val="false"/>
          <w:i/>
          <w:color w:val="000000"/>
          <w:sz w:val="18"/>
        </w:rPr>
        <w:t>Goodwill and Intangible Assets</w:t>
      </w:r>
      <w:r>
        <w:rPr>
          <w:rFonts w:ascii="Times New Roman;serif" w:hAnsi="Times New Roman;serif"/>
          <w:b w:val="false"/>
          <w:color w:val="000000"/>
          <w:sz w:val="18"/>
        </w:rPr>
        <w:t xml:space="preserve">, and Note 9, </w:t>
      </w:r>
      <w:r>
        <w:rPr>
          <w:rFonts w:ascii="Times New Roman;serif" w:hAnsi="Times New Roman;serif"/>
          <w:b w:val="false"/>
          <w:i/>
          <w:color w:val="000000"/>
          <w:sz w:val="18"/>
        </w:rPr>
        <w:t>Fair Value Measurements</w:t>
      </w:r>
      <w:r>
        <w:rPr>
          <w:rFonts w:ascii="Times New Roman;serif" w:hAnsi="Times New Roman;serif"/>
          <w:b w:val="false"/>
          <w:color w:val="000000"/>
          <w:sz w:val="18"/>
        </w:rPr>
        <w:t>, for additional information on impairment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tbl>
      <w:tblPr>
        <w:tblW w:w="9824" w:type="dxa"/>
        <w:jc w:val="center"/>
        <w:tblInd w:w="0" w:type="dxa"/>
        <w:tblLayout w:type="fixed"/>
        <w:tblCellMar>
          <w:top w:w="28" w:type="dxa"/>
          <w:left w:w="28" w:type="dxa"/>
          <w:bottom w:w="28" w:type="dxa"/>
          <w:right w:w="28" w:type="dxa"/>
        </w:tblCellMar>
      </w:tblPr>
      <w:tblGrid>
        <w:gridCol w:w="1072"/>
        <w:gridCol w:w="946"/>
        <w:gridCol w:w="951"/>
        <w:gridCol w:w="211"/>
        <w:gridCol w:w="976"/>
        <w:gridCol w:w="109"/>
        <w:gridCol w:w="109"/>
        <w:gridCol w:w="109"/>
        <w:gridCol w:w="109"/>
        <w:gridCol w:w="211"/>
        <w:gridCol w:w="826"/>
        <w:gridCol w:w="109"/>
        <w:gridCol w:w="109"/>
        <w:gridCol w:w="109"/>
        <w:gridCol w:w="109"/>
        <w:gridCol w:w="282"/>
        <w:gridCol w:w="966"/>
        <w:gridCol w:w="146"/>
        <w:gridCol w:w="109"/>
        <w:gridCol w:w="109"/>
        <w:gridCol w:w="109"/>
        <w:gridCol w:w="211"/>
        <w:gridCol w:w="976"/>
        <w:gridCol w:w="851"/>
      </w:tblGrid>
      <w:tr>
        <w:trPr/>
        <w:tc>
          <w:tcPr>
            <w:tcW w:w="10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1,491,400 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1,138,947 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207,687 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r>
              <w:rPr>
                <w:rFonts w:ascii="Times New Roman;serif" w:hAnsi="Times New Roman;serif"/>
                <w:b w:val="false"/>
                <w:color w:val="000000"/>
                <w:sz w:val="20"/>
              </w:rPr>
              <w:t xml:space="preserve">Income from operations </w:t>
            </w:r>
            <w:r>
              <w:rPr>
                <w:rFonts w:ascii="Times New Roman;serif" w:hAnsi="Times New Roman;serif"/>
                <w:b w:val="false"/>
                <w:color w:val="000000"/>
                <w:sz w:val="13"/>
              </w:rPr>
              <w:t>(2)</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144,766 </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(26,045)</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118,721 </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1,058,810 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189,963 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127,418 </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(1)Other segment items for each reportable segment includes selling, general and administrative expenses and amortization expense.</w:t>
      </w:r>
    </w:p>
    <w:p>
      <w:pPr>
        <w:pStyle w:val="TextBody"/>
        <w:bidi w:val="0"/>
        <w:spacing w:lineRule="auto" w:line="288" w:before="60" w:after="180"/>
        <w:ind w:left="0" w:right="0" w:hanging="360"/>
        <w:jc w:val="left"/>
        <w:rPr/>
      </w:pPr>
      <w:r>
        <w:rPr>
          <w:rFonts w:ascii="Times New Roman;serif" w:hAnsi="Times New Roman;serif"/>
          <w:b w:val="false"/>
          <w:color w:val="000000"/>
          <w:sz w:val="18"/>
        </w:rPr>
        <w:t xml:space="preserve">(2)For the six months ended June 30, 2026, income from operations includes </w:t>
      </w:r>
      <w:r>
        <w:rPr>
          <w:rFonts w:ascii="Times New Roman;serif" w:hAnsi="Times New Roman;serif"/>
          <w:b w:val="false"/>
          <w:color w:val="000000"/>
          <w:sz w:val="20"/>
        </w:rPr>
        <w:t>$19.1 million</w:t>
      </w:r>
      <w:r>
        <w:rPr>
          <w:color w:val="000000"/>
        </w:rPr>
        <w:t xml:space="preserve"> </w:t>
      </w:r>
      <w:r>
        <w:rPr>
          <w:rFonts w:ascii="Times New Roman;serif" w:hAnsi="Times New Roman;serif"/>
          <w:b w:val="false"/>
          <w:color w:val="000000"/>
          <w:sz w:val="18"/>
        </w:rPr>
        <w:t xml:space="preserve">of impairment losses related to the full service center-based child care segment, of which </w:t>
      </w:r>
      <w:r>
        <w:rPr>
          <w:rFonts w:ascii="Times New Roman;serif" w:hAnsi="Times New Roman;serif"/>
          <w:b w:val="false"/>
          <w:color w:val="000000"/>
          <w:sz w:val="20"/>
        </w:rPr>
        <w:t>$12.8 million</w:t>
      </w:r>
      <w:r>
        <w:rPr>
          <w:color w:val="000000"/>
        </w:rPr>
        <w:t xml:space="preserve"> </w:t>
      </w:r>
      <w:r>
        <w:rPr>
          <w:rFonts w:ascii="Times New Roman;serif" w:hAnsi="Times New Roman;serif"/>
          <w:b w:val="false"/>
          <w:color w:val="000000"/>
          <w:sz w:val="18"/>
        </w:rPr>
        <w:t xml:space="preserve">was recorded to cost of services and </w:t>
      </w:r>
      <w:r>
        <w:rPr>
          <w:rFonts w:ascii="Times New Roman;serif" w:hAnsi="Times New Roman;serif"/>
          <w:b w:val="false"/>
          <w:color w:val="000000"/>
          <w:sz w:val="20"/>
        </w:rPr>
        <w:t>$6.3 million</w:t>
      </w:r>
      <w:r>
        <w:rPr>
          <w:color w:val="000000"/>
        </w:rPr>
        <w:t xml:space="preserve"> </w:t>
      </w:r>
      <w:r>
        <w:rPr>
          <w:rFonts w:ascii="Times New Roman;serif" w:hAnsi="Times New Roman;serif"/>
          <w:b w:val="false"/>
          <w:color w:val="000000"/>
          <w:sz w:val="18"/>
        </w:rPr>
        <w:t xml:space="preserve">was recorded to selling, general and administrative expenses in the second quarter. Refer to Note 3, </w:t>
      </w:r>
      <w:r>
        <w:rPr>
          <w:rFonts w:ascii="Times New Roman;serif" w:hAnsi="Times New Roman;serif"/>
          <w:b w:val="false"/>
          <w:i/>
          <w:color w:val="000000"/>
          <w:sz w:val="18"/>
        </w:rPr>
        <w:t>Leases</w:t>
      </w:r>
      <w:r>
        <w:rPr>
          <w:rFonts w:ascii="Times New Roman;serif" w:hAnsi="Times New Roman;serif"/>
          <w:b w:val="false"/>
          <w:color w:val="000000"/>
          <w:sz w:val="18"/>
        </w:rPr>
        <w:t xml:space="preserve">, Note 5, </w:t>
      </w:r>
      <w:r>
        <w:rPr>
          <w:rFonts w:ascii="Times New Roman;serif" w:hAnsi="Times New Roman;serif"/>
          <w:b w:val="false"/>
          <w:i/>
          <w:color w:val="000000"/>
          <w:sz w:val="18"/>
        </w:rPr>
        <w:t>Goodwill and Intangible Assets</w:t>
      </w:r>
      <w:r>
        <w:rPr>
          <w:rFonts w:ascii="Times New Roman;serif" w:hAnsi="Times New Roman;serif"/>
          <w:b w:val="false"/>
          <w:color w:val="000000"/>
          <w:sz w:val="18"/>
        </w:rPr>
        <w:t xml:space="preserve">, and Note 9, </w:t>
      </w:r>
      <w:r>
        <w:rPr>
          <w:rFonts w:ascii="Times New Roman;serif" w:hAnsi="Times New Roman;serif"/>
          <w:b w:val="false"/>
          <w:i/>
          <w:color w:val="000000"/>
          <w:sz w:val="18"/>
        </w:rPr>
        <w:t>Fair Value Measurements</w:t>
      </w:r>
      <w:r>
        <w:rPr>
          <w:rFonts w:ascii="Times New Roman;serif" w:hAnsi="Times New Roman;serif"/>
          <w:b w:val="false"/>
          <w:color w:val="000000"/>
          <w:sz w:val="18"/>
        </w:rPr>
        <w:t>, for additional information on impairment losses.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$24.6 million and $22.7 million for the three months ended June 30, 2026 and 2025, respectively, and $47.8 million and $44.6 million for the six months ended June 30, 2026 and 2025, respectively. Approximately 85% of depreciation and amortization expense in each period related to the full service center-based child care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statements that express our opinions, expectations, beliefs, plans, objectives, assumptions or projections regarding future events or future results and therefore are, or may be deemed to be, “forward-looking statements” within the meaning of the Private Securities Litigation Reform Act of 1995 (the “Act”). The following cautionary statements are being made pursuant to the provisions of the Act and with the intention of obtaining the benefits of the “safe harbor” provisions of the Act.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Quarterly Report on Form 10-Q and include statements regarding our intentions, beliefs or current expectations concerning, among other things, our results of operations; financial condition; liquidity; workplace and demographic trends; wage rate increases, personnel costs and other labor market impacts; future center closures and portfolio optimization and impacts; our operations outside the United States; back-up care services and use types; enrollment trends and recovery and occupancy in both the United States and outside the United States; our Australia business and operating conditions and operating performance; our center cohort occupancy levels; cost management and capital spending; investments in employees and wages; contributions and growth in our back-up care segment; the availability or lack of government support programs; tuition rate increases and pricing strategies; leases, terms and expirations; ability to respond to changing or volatile market conditions; our growth and strategic priorities; ability to grow and sustain our business; demand for services; our business model; our value proposition, client relations and partnerships; seasonality; macroeconomic trends and changing conditions, including uncertainty and inflationary or recessionary pressures; fluctuating interest rates; changes in laws and regulations; investments in segments and strategic opportunities; investments in technology, marketing, user experience and network supply; our opportunities for expansion; acquisitions, contributions and expected synergies; contingent consideration; amortization expense; our fair value estimates; goodwill from business combinations; future impairment losses; fixed assets; estimates and impact of employee equity transactions; unrecognized tax benefits and the impact of uncertain tax positions; our effective tax rate and estimates; the outcome of tax audits, settlements and tax liabilities; impact of tax benefits/expense; fluctuations, impact and estimates of foreign currency exchange rates and interest rates; our capital allocation; share repurchase program and future activity; the outcome of litigation, legal proceedings/claims and our insurance coverage; our interest rates, weighted average interest rate, expense and impact of our interest rate cap agreements; credit risk; the use of derivatives or other market risk sensitive instruments; critical accounting policies and estimates; impact of new accounting pronouncements; our indebtedness; borrowings under our senior secured credit facilities; the need for additional debt or equity financing, including raising additional funds or refinancing our outstanding indebtedness, and our ability to obtain such financing; contractual and actual maturities; our sources, drivers and uses of cash flows; our ability to fund operations and make capital expenditures and payments with cash and cash equivalents and borrowings; and our ability to meet financial obligations and comply with covenants of our senior secured credit facilities.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By their nature, forward-looking statements involve risks and uncertainties because they relate to events and depend on circumstances that may or may not occur in the future. We believe that these risks and uncertainties include, but are not limited to,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indebtedness and the terms of such indebtedness; our ability to withstand seasonal fluctuations in the demand for our services; our ability to implement our growth strategies successfully; our ability to close underperforming centers or exit unfavorable lease arrangements;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or negative public perception, including as a result of incidents and media coverage; outcome of legal matters, claims, allegations, actual or threatened litigation and regulatory investigations and reviews; insurance risks;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Although we base these forward-looking statements on assumptions that we believe are reasonable when made, we caution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those results or developments may not be indicative of results or developments in subsequent periods.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Any forward-looking statement that we make in this Quarterly Report speaks only as of the date of such statement, and we undertake no obligation to update any forward-looking statements or to publicly announce the results of any revisions to any of those statements to reflect future information, events, developments or otherwise, except as required by law.</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left"/>
        <w:rPr/>
      </w:pPr>
      <w:r>
        <w:rPr>
          <w:rFonts w:ascii="Times New Roman;serif" w:hAnsi="Times New Roman;serif"/>
          <w:b w:val="false"/>
          <w:color w:val="000000"/>
          <w:sz w:val="20"/>
        </w:rPr>
        <w:t xml:space="preserve">The following is a discussion of the significant factors affecting the consolidated operating results, financial condition, liquidity and cash flows of Bright Horizons Family Solutions Inc. (“we” or the “Company”) for the three and six months ended June 30, 2026, as compared to the three and six months ended June 30, 2025. This discussion should be read in conjunction with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the </w:t>
      </w:r>
      <w:r>
        <w:rPr>
          <w:rFonts w:ascii="Times New Roman;serif" w:hAnsi="Times New Roman;serif"/>
          <w:b w:val="false"/>
          <w:i/>
          <w:color w:val="000000"/>
          <w:sz w:val="20"/>
        </w:rPr>
        <w:t>Consolidated Financial Statements and Notes</w:t>
      </w:r>
      <w:r>
        <w:rPr>
          <w:color w:val="000000"/>
        </w:rPr>
        <w:t xml:space="preserve"> </w:t>
      </w:r>
      <w:r>
        <w:rPr>
          <w:rFonts w:ascii="Times New Roman;serif" w:hAnsi="Times New Roman;serif"/>
          <w:b w:val="false"/>
          <w:color w:val="000000"/>
          <w:sz w:val="20"/>
        </w:rPr>
        <w:t>thereto included in our Annual Report on Form 10-K for the year ended December 31,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 leading provider of high-quality early education and child care, comprehensive back-up care solutions, and educational advisory services. Our offerings support both working families and employers' workforce strategies by supporting their employees across life and career stages, and improving employee recruitment, engagement, productivity, retention, and career advancement. We provide services primarily under multi-year contracts with employer-clients who offer early education and child care, back-up care, and educational advisory services as part of their employee benefits package.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we operated 988 early education and child care centers with the capacity to serve approximately 112,500 children in the United States, the United Kingdom, the Netherlands, Australia and India.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reportable segments are comprised of (1) full service center-based child care, (2) back-up care, and (3) educational advisory services. Full service center-based child care includes traditional center-based early education and child care, preschool, and elementary education. Back-up care consists of center-based back-up child care, in-home care for children and seniors, school-age programs (including camps and tutoring), pet care, self-sourced reimbursed care, and Sittercity, an online marketplace for families and caregivers. Educational advisory services includes tuition assistance and student loan repayment program management, workforce education, related educational advising, and college admissions counseling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saw strong growth in back-up care with a 19% year-over-year increase in revenue as a result of increased utilization. We also saw year-over-year revenue growth of 3% in our full service center-based child care segment, primarily from tuition rate increases. To track our continued improvement in occupancy rates, we monitor occupancy for a cohort of centers that has been operating since the 2021 fall enrollment cycle, and as of June 30, 2026, this cohort of centers totaled 719 centers. Occupancy represents utilization for each respective center and is calculated as the average full-time enrollment divided by the total operating capacity during the period. For the quarter ended June 30, 2026, 53% of these centers were more than 70% enrolled, 42% were between 40-70% enrolled and 5% were less than 40% enrolled, which reflects improved occupancy and the effect of closing unperforming centers when compared to the same period in the prior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While we continue to see year-over-year growth, our operating environment is impacted by increased operating costs, a tight labor market, varying enrollment demands, shifting work demographics, and challenging macroeconomic conditions. We remain focused on the evolving needs of clients, families and children as well as the changes in operating environments, including our Australia full service business, where we have recently experienced more challenging enrollment trends and operating conditions. We are actively monitoring and assessing the trends and operating conditions in Australia and we continue to focus our efforts on improving the overall operating performance, and where appropriate, close centers that we do not believe have long-term potential. We continue to assess our portfolio of centers through the evaluation of expected near-term and long-term performance, as well as our partnerships with clients. As a result, we routinely close underperforming centers and expect to continue to optimize our portfolio and close underperforming centers identified in these evaluations over the next 12 months.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focused on our strategic priorities to deliver high quality education and care services, connect across our service lines, extend our impact on new and existing customers and clients, and preserve our strong culture, and we are committed to serving the needs of families, clients and our employees. We are confident in our value proposition, business model, the strength of our client partnerships, the strength of our balance sheet and liquidity position, and our ability to continue to respond to changing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 of income data as a percentage of revenue for the three months ended June 30, 2026 and 2025:</w:t>
      </w:r>
    </w:p>
    <w:tbl>
      <w:tblPr>
        <w:tblW w:w="8826" w:type="dxa"/>
        <w:jc w:val="center"/>
        <w:tblInd w:w="0" w:type="dxa"/>
        <w:tblLayout w:type="fixed"/>
        <w:tblCellMar>
          <w:top w:w="28" w:type="dxa"/>
          <w:left w:w="28" w:type="dxa"/>
          <w:bottom w:w="28" w:type="dxa"/>
          <w:right w:w="28" w:type="dxa"/>
        </w:tblCellMar>
      </w:tblPr>
      <w:tblGrid>
        <w:gridCol w:w="1350"/>
        <w:gridCol w:w="1189"/>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income from operations </w:t>
            </w:r>
            <w:r>
              <w:rPr>
                <w:rFonts w:ascii="Times New Roman;serif" w:hAnsi="Times New Roman;serif"/>
                <w:b w:val="false"/>
                <w:color w:val="000000"/>
                <w:sz w:val="13"/>
              </w:rPr>
              <w:t>(1)</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w:t>
            </w:r>
            <w:r>
              <w:rPr>
                <w:rFonts w:ascii="Times New Roman;serif" w:hAnsi="Times New Roman;serif"/>
                <w:b w:val="false"/>
                <w:color w:val="000000"/>
                <w:sz w:val="13"/>
              </w:rPr>
              <w:t>(1)</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20"/>
        <w:ind w:left="0" w:right="0" w:hanging="360"/>
        <w:jc w:val="left"/>
        <w:rPr/>
      </w:pPr>
      <w:r>
        <w:rPr>
          <w:rFonts w:ascii="Times New Roman;serif" w:hAnsi="Times New Roman;serif"/>
          <w:b w:val="false"/>
          <w:color w:val="000000"/>
          <w:sz w:val="18"/>
        </w:rPr>
        <w:t>(1)Adjusted EBITDA, adjusted income from operations and adjusted net income are financial measures that are not determined in accordance with generally accepted accounting principles in the United States (“GAAP”), which are commonly referred to as “non-GAAP financial measures.”</w:t>
      </w:r>
      <w:r>
        <w:rPr>
          <w:color w:val="000000"/>
        </w:rPr>
        <w:t xml:space="preserve"> </w:t>
      </w:r>
      <w:r>
        <w:rPr>
          <w:rFonts w:ascii="Times New Roman;serif" w:hAnsi="Times New Roman;serif"/>
          <w:b w:val="false"/>
          <w:color w:val="000000"/>
          <w:sz w:val="18"/>
        </w:rPr>
        <w:t>Refer to “Non-GAAP Financial Measures and Reconciliation” below for a reconciliation of these non-GAAP financial measures to their most directly comparable financial measures determined under GAAP and for information regarding our use of non-GAAP financial measures.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 of income data as a percentage of revenue for the six months ended June 30, 2026 and 2025:</w:t>
      </w:r>
    </w:p>
    <w:tbl>
      <w:tblPr>
        <w:tblW w:w="9126" w:type="dxa"/>
        <w:jc w:val="center"/>
        <w:tblInd w:w="0" w:type="dxa"/>
        <w:tblLayout w:type="fixed"/>
        <w:tblCellMar>
          <w:top w:w="28" w:type="dxa"/>
          <w:left w:w="28" w:type="dxa"/>
          <w:bottom w:w="28" w:type="dxa"/>
          <w:right w:w="28" w:type="dxa"/>
        </w:tblCellMar>
      </w:tblPr>
      <w:tblGrid>
        <w:gridCol w:w="1350"/>
        <w:gridCol w:w="1189"/>
        <w:gridCol w:w="1195"/>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income from operations </w:t>
            </w:r>
            <w:r>
              <w:rPr>
                <w:rFonts w:ascii="Times New Roman;serif" w:hAnsi="Times New Roman;serif"/>
                <w:b w:val="false"/>
                <w:color w:val="000000"/>
                <w:sz w:val="13"/>
              </w:rPr>
              <w:t>(1)</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w:t>
            </w:r>
            <w:r>
              <w:rPr>
                <w:rFonts w:ascii="Times New Roman;serif" w:hAnsi="Times New Roman;serif"/>
                <w:b w:val="false"/>
                <w:color w:val="000000"/>
                <w:sz w:val="13"/>
              </w:rPr>
              <w:t>(1)</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(1)Adjusted EBITDA, adjusted income from operations and adjusted net income are financial measures that are not calculated in accordance with GAAP, which are commonly referred to as “non-GAAP financial measures.” Refer to “Non-GAAP Financial Measures and Reconciliation” below for a reconciliation of these non-GAAP financial measures to their respective measures determined under GAAP and for information regarding our use of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the Three Months Ended June 30, 2025</w:t>
      </w:r>
    </w:p>
    <w:p>
      <w:pPr>
        <w:pStyle w:val="TextBody"/>
        <w:bidi w:val="0"/>
        <w:spacing w:lineRule="auto" w:line="288" w:before="120" w:after="120"/>
        <w:jc w:val="left"/>
        <w:rPr/>
      </w:pPr>
      <w:r>
        <w:rPr>
          <w:rFonts w:ascii="Times New Roman;serif" w:hAnsi="Times New Roman;serif"/>
          <w:b/>
          <w:i/>
          <w:color w:val="000000"/>
          <w:sz w:val="20"/>
        </w:rPr>
        <w:t xml:space="preserve">Revenue. </w:t>
      </w:r>
      <w:r>
        <w:rPr>
          <w:rFonts w:ascii="Times New Roman;serif" w:hAnsi="Times New Roman;serif"/>
          <w:b w:val="false"/>
          <w:color w:val="000000"/>
          <w:sz w:val="20"/>
        </w:rPr>
        <w:t>Revenue for the three months ended June 30, 2026, increased by $47.6 million, or 7%, to $779.2 million from $731.6 million for the same period in 2025. The following table summarizes the revenue and percentage of total revenue for each of our segments for the three months ended June 30, 2026 and 2025:</w:t>
      </w:r>
    </w:p>
    <w:tbl>
      <w:tblPr>
        <w:tblW w:w="10205" w:type="dxa"/>
        <w:jc w:val="center"/>
        <w:tblInd w:w="0" w:type="dxa"/>
        <w:tblLayout w:type="fixed"/>
        <w:tblCellMar>
          <w:top w:w="28" w:type="dxa"/>
          <w:left w:w="28" w:type="dxa"/>
          <w:bottom w:w="28" w:type="dxa"/>
          <w:right w:w="28" w:type="dxa"/>
        </w:tblCellMar>
      </w:tblPr>
      <w:tblGrid>
        <w:gridCol w:w="953"/>
        <w:gridCol w:w="838"/>
        <w:gridCol w:w="843"/>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721"/>
        <w:gridCol w:w="109"/>
        <w:gridCol w:w="109"/>
        <w:gridCol w:w="109"/>
        <w:gridCol w:w="109"/>
        <w:gridCol w:w="255"/>
        <w:gridCol w:w="256"/>
        <w:gridCol w:w="318"/>
      </w:tblGrid>
      <w:tr>
        <w:trPr/>
        <w:tc>
          <w:tcPr>
            <w:tcW w:w="9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2026 vs 2025</w:t>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service center-based child care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Tuition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511,952 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495,701 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Management fees and operating subsidies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44,566 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Back-up care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Educational advisory services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generated by the full service center-based child care segment in the three months ended June 30, 2026 increased by $17.0 million, or 3%, when compared to the same period in 2025. Tuition revenue increased by $16.3 million, or 3%, when compared to the prior year, primarily due to average tuition rate increases of approximately 4%, offset by the impact of centers that have closed since March 31, 2025, which reduced revenue by approximately 2.5%, and by lower enrollment in our Australia centers which reduced revenue by approximately 1%. Fluctuations in foreign currency exchange rates for our United Kingdom, Netherlands and Australia operations increased tuition revenue in the three months ended June 30, 2026 by approximately 1%, or $5.0 million. We expect to be impacted by fluctuations in the foreign currency exchange rates throughout the remainder of the year, although we do not expect the impact on net earnings to be material.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fees and operating subsidies from employer sponsors remained relatively consistent with the prior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generated by back-up care services in the three months ended June 30, 2026 increased by $30.9 million, or 19%, when compared to the same period in 2025. Revenue growth in the back-up care segment was primarily attributable to increased utilization of center-based care, in-home care, and school-age programs by employees of new and existing clients.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generated by educational advisory services in the three months ended June 30, 2026 remained consistent with the same period in 2025.</w:t>
      </w:r>
    </w:p>
    <w:p>
      <w:pPr>
        <w:pStyle w:val="TextBody"/>
        <w:bidi w:val="0"/>
        <w:spacing w:lineRule="auto" w:line="288" w:before="120" w:after="120"/>
        <w:jc w:val="left"/>
        <w:rPr/>
      </w:pPr>
      <w:r>
        <w:rPr>
          <w:rFonts w:ascii="Times New Roman;serif" w:hAnsi="Times New Roman;serif"/>
          <w:b/>
          <w:i/>
          <w:color w:val="000000"/>
          <w:sz w:val="20"/>
        </w:rPr>
        <w:t>Cost of Services.</w:t>
      </w:r>
      <w:r>
        <w:rPr>
          <w:color w:val="000000"/>
        </w:rPr>
        <w:t xml:space="preserve"> </w:t>
      </w:r>
      <w:r>
        <w:rPr>
          <w:rFonts w:ascii="Times New Roman;serif" w:hAnsi="Times New Roman;serif"/>
          <w:b w:val="false"/>
          <w:color w:val="000000"/>
          <w:sz w:val="20"/>
        </w:rPr>
        <w:t>Cost of services increased by $41.2 million, or 8%, to $590.2 million for the three months ended June 30, 2026 from $549.0 million for the same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 of services in the full service center-based child care segment increased by $24.1 million, or 5%, to $469.8 million in the three months ended June 30, 2026 when compared to the same period in 2025. The increase in cost of services was primarily associated with increased personnel costs, which represent approximately 70% of the costs for this segment. Personnel costs increased 2% during the quarter compared to the same period in the prior year, related to average hourly wage rate increases of approximately 3%, higher benefits costs, including medical care expenses, and the impact of foreign currency exchange rates, offset by reductions in labor from net center closures since the prior year. Impairment losses of $12.8 million, primarily related to long-lived assets, arising from center closures, changes in market assumptions and reduced operating performance at certain centers, also contributed to the increase in cost of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 of services in the back-up care segment increased by $16.6 million, or 19%, to $105.4 million in the three months ended June 30, 2026, when compared to the prior year. The increase in cost of services correlates to the increase in revenue and is primarily associated with care provider fees to serve the increase in utilization levels of center-based care, in-home care, and school-age programs over the prior year, and the continued investment in technology to support our customer user experience, service offerings, and marketing outreach. We expect to continue investing in increasing our network provider supply and in technology to support the growth of this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 of services in the educational advisory services segment increased by $0.5 million, or 3%, to $15.0 million in the three months ended June 30, 2026 when compared to the prior year.</w:t>
      </w:r>
    </w:p>
    <w:p>
      <w:pPr>
        <w:pStyle w:val="TextBody"/>
        <w:bidi w:val="0"/>
        <w:spacing w:lineRule="auto" w:line="288" w:before="120" w:after="12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increased by $6.4 million, or 4%, to $189.0 million for the three months ended June 30, 2026 from $182.6 million for the same period in 2025 primarily due to incremental contributions from the back-up care segment, resulting from higher utilization of back-up care services, partially offset by impairment losses related to the full service center-based child care segment. Gross profit margin was 24% of revenue for the three months ended June 30, 2026, a decrease of approximately 1% from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pPr>
      <w:r>
        <w:rPr>
          <w:rFonts w:ascii="Times New Roman;serif" w:hAnsi="Times New Roman;serif"/>
          <w:b/>
          <w:i/>
          <w:color w:val="000000"/>
          <w:sz w:val="20"/>
        </w:rPr>
        <w:t>Selling, General and Administrative Expenses (</w:t>
      </w:r>
      <w:r>
        <w:rPr>
          <w:color w:val="000000"/>
        </w:rPr>
        <w:t>“</w:t>
      </w:r>
      <w:r>
        <w:rPr>
          <w:rFonts w:ascii="Times New Roman;serif" w:hAnsi="Times New Roman;serif"/>
          <w:b/>
          <w:i/>
          <w:color w:val="000000"/>
          <w:sz w:val="20"/>
        </w:rPr>
        <w:t>SGA</w:t>
      </w:r>
      <w:r>
        <w:rPr>
          <w:color w:val="000000"/>
        </w:rPr>
        <w:t>”</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SGA increased by $13.2 million, or 14%, to $108.0 million for the three months ended June 30, 2026 from $94.8 million for the same period in 2025, primarily due to impairment losses of $6.3 million related to goodwill in the full service center-based child care segment attributable to an immaterial foreign reporting unit specializing in tutoring services, and higher personnel costs. SGA was 14% of revenue for the three months ended June 30, 2026, a 1% increase from the same period in 2025.</w:t>
      </w:r>
    </w:p>
    <w:p>
      <w:pPr>
        <w:pStyle w:val="TextBody"/>
        <w:bidi w:val="0"/>
        <w:spacing w:lineRule="auto" w:line="288" w:before="120" w:after="120"/>
        <w:jc w:val="left"/>
        <w:rPr/>
      </w:pPr>
      <w:r>
        <w:rPr>
          <w:rFonts w:ascii="Times New Roman;serif" w:hAnsi="Times New Roman;serif"/>
          <w:b/>
          <w:i/>
          <w:color w:val="000000"/>
          <w:sz w:val="20"/>
        </w:rPr>
        <w:t>Amortization of Intangible Assets.</w:t>
      </w:r>
      <w:r>
        <w:rPr>
          <w:color w:val="000000"/>
        </w:rPr>
        <w:t xml:space="preserve"> </w:t>
      </w:r>
      <w:r>
        <w:rPr>
          <w:rFonts w:ascii="Times New Roman;serif" w:hAnsi="Times New Roman;serif"/>
          <w:b w:val="false"/>
          <w:color w:val="000000"/>
          <w:sz w:val="20"/>
        </w:rPr>
        <w:t>Amortization expense on intangible assets was $1.1 million for the three months ended June 30, 2026, a decrease from $1.7 million for the three months ended June 30, 2025, primarily due to decreases from intangible assets becoming fully amortized since the prior year.</w:t>
      </w:r>
    </w:p>
    <w:p>
      <w:pPr>
        <w:pStyle w:val="TextBody"/>
        <w:bidi w:val="0"/>
        <w:spacing w:lineRule="auto" w:line="288" w:before="120" w:after="120"/>
        <w:jc w:val="left"/>
        <w:rPr/>
      </w:pPr>
      <w:r>
        <w:rPr>
          <w:rFonts w:ascii="Times New Roman;serif" w:hAnsi="Times New Roman;serif"/>
          <w:b/>
          <w:i/>
          <w:color w:val="000000"/>
          <w:sz w:val="20"/>
        </w:rPr>
        <w:t>Income from Operations.</w:t>
      </w:r>
      <w:r>
        <w:rPr>
          <w:color w:val="000000"/>
        </w:rPr>
        <w:t xml:space="preserve"> </w:t>
      </w:r>
      <w:r>
        <w:rPr>
          <w:rFonts w:ascii="Times New Roman;serif" w:hAnsi="Times New Roman;serif"/>
          <w:b w:val="false"/>
          <w:color w:val="000000"/>
          <w:sz w:val="20"/>
        </w:rPr>
        <w:t>Income from operations decreased by $6.2 million, or 7%, to $79.8 million for the three months ended June 30, 2026 when compared to the prior year. The following table summarizes income from operations and percentage of revenue for each of our segments for the three months ended June 30, 2026 and 2025:</w:t>
      </w:r>
    </w:p>
    <w:tbl>
      <w:tblPr>
        <w:tblW w:w="10205" w:type="dxa"/>
        <w:jc w:val="center"/>
        <w:tblInd w:w="0" w:type="dxa"/>
        <w:tblLayout w:type="fixed"/>
        <w:tblCellMar>
          <w:top w:w="28" w:type="dxa"/>
          <w:left w:w="28" w:type="dxa"/>
          <w:bottom w:w="28" w:type="dxa"/>
          <w:right w:w="28" w:type="dxa"/>
        </w:tblCellMar>
      </w:tblPr>
      <w:tblGrid>
        <w:gridCol w:w="1053"/>
        <w:gridCol w:w="925"/>
        <w:gridCol w:w="930"/>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11"/>
        <w:gridCol w:w="794"/>
        <w:gridCol w:w="109"/>
        <w:gridCol w:w="109"/>
        <w:gridCol w:w="109"/>
        <w:gridCol w:w="109"/>
        <w:gridCol w:w="292"/>
        <w:gridCol w:w="292"/>
        <w:gridCol w:w="318"/>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2026 vs 2025</w:t>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service center-based child care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Back-up care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Educational advisory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change in income from operations was primarily due to the following:</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Income from operations for the full service center-based child care segment decreased $15.2 million, or 38%, in the three months ended June 30, 2026 when compared to the same period in 2025, primarily due to impairment losses of $19.1 million related to long-lived assets and goodwill, arising from center closures, changes in market assumptions and reduced operating performance at certain centers, and increased personnel costs, partially offset by increases in tuition revenue from annual tuition rate increases and enrollment gains.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Income from operations for the back-up care segment increased $9.4 million, or 23%, in the three months ended June 30, 2026 when compared to the same period in 2025, primarily due to incremental gross profit contributions from expanded utilization of back-up care services, partially offset by higher investments in technology and marketing to improve the customer experience.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Income from operations for the educational advisory services segment decreased $0.4 million, or 8%, in the three months ended June 30, 2026 when compared to the same period in 2025.</w:t>
      </w:r>
    </w:p>
    <w:p>
      <w:pPr>
        <w:pStyle w:val="TextBody"/>
        <w:bidi w:val="0"/>
        <w:spacing w:lineRule="auto" w:line="288" w:before="120" w:after="120"/>
        <w:jc w:val="left"/>
        <w:rPr/>
      </w:pPr>
      <w:r>
        <w:rPr>
          <w:rFonts w:ascii="Times New Roman;serif" w:hAnsi="Times New Roman;serif"/>
          <w:b/>
          <w:i/>
          <w:color w:val="000000"/>
          <w:sz w:val="20"/>
        </w:rPr>
        <w:t>Net Interest Expense.</w:t>
      </w:r>
      <w:r>
        <w:rPr>
          <w:color w:val="000000"/>
        </w:rPr>
        <w:t xml:space="preserve"> </w:t>
      </w:r>
      <w:r>
        <w:rPr>
          <w:rFonts w:ascii="Times New Roman;serif" w:hAnsi="Times New Roman;serif"/>
          <w:b w:val="false"/>
          <w:color w:val="000000"/>
          <w:sz w:val="20"/>
        </w:rPr>
        <w:t>Net interest expense was $14.0 million for the three months ended June 30, 2026, an increase from $10.6 million for the three months ended June 30, 2025, primarily due to higher average borrowings as well as higher interest rates applicable to our debt. The weighted average interest rate for the term loans and revolving credit facility was 4.91% for the three months ended June 30, 2026 compared to 4.26% for the three months ended June 30, 2025, inclusive of the effects of the cash flow hedges. Based on the current interest rate projections, we estimate that our overall weighted average interest rate will be in the range of 5.25% to 5.5% for the remainder of 2026, inclusive of the effects of the cash flow hedges.</w:t>
      </w:r>
    </w:p>
    <w:p>
      <w:pPr>
        <w:pStyle w:val="TextBody"/>
        <w:bidi w:val="0"/>
        <w:spacing w:lineRule="auto" w:line="288" w:before="120" w:after="120"/>
        <w:jc w:val="left"/>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We recorded income tax expense of $25.2 million during the three months ended June 30, 2026, at an effective income tax rate of 38%, compared to an income tax expense of $20.7 million during the three months ended June 30, 2025, at an effective income tax rate of 27%. The difference between the effective income tax rates as compared to the statutory income tax rates was primarily due to the impact of unbenefited losses in certain foreign subsidiaries and the effects of net excess tax benefit (shortfall tax expense) associated with the exercise or expiration of stock options and vesting of restricted stock. The effective income tax rate may fluctuate from quarter to quarter for various reasons, including changes to income before income tax, jurisdictional mix of income before income tax, unbenefited losses, valuation allowances, jurisdictional income tax rate changes, as well as discrete items such as non-deductible transaction costs, the settlement of foreign, federal and state tax matters and the effects of excess tax benefit (shortfall tax expense) associated with the exercise or expiration of stock options and vesting of restricted stock.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net shortfall tax expense from stock-based compensation increased tax expense by $0.5 million and $0.1 million, respectively. For the three months ended June 30, 2026 and 2025, prior to the inclusion of the excess tax benefit (shortfall tax expense), other discrete items and unbenefited losses in certain foreign jurisdictions, the effective tax rate approximated 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pPr>
      <w:r>
        <w:rPr>
          <w:rFonts w:ascii="Times New Roman;serif" w:hAnsi="Times New Roman;serif"/>
          <w:b/>
          <w:i/>
          <w:color w:val="000000"/>
          <w:sz w:val="20"/>
        </w:rPr>
        <w:t>Adjusted EBITDA and Adjusted Income from Operations.</w:t>
      </w:r>
      <w:r>
        <w:rPr>
          <w:color w:val="000000"/>
        </w:rPr>
        <w:t xml:space="preserve"> </w:t>
      </w:r>
      <w:r>
        <w:rPr>
          <w:rFonts w:ascii="Times New Roman;serif" w:hAnsi="Times New Roman;serif"/>
          <w:b w:val="false"/>
          <w:color w:val="000000"/>
          <w:sz w:val="20"/>
        </w:rPr>
        <w:t>Adjusted EBITDA increased $14.9 million, or 13%, and adjusted income from operations increased $12.9 million, or 15%, for the three months ended June 30, 2026 compared to the same period in 2025 primarily due to increased contributions from the back-up care segment.</w:t>
      </w:r>
    </w:p>
    <w:p>
      <w:pPr>
        <w:pStyle w:val="TextBody"/>
        <w:bidi w:val="0"/>
        <w:spacing w:lineRule="auto" w:line="288" w:before="120" w:after="120"/>
        <w:jc w:val="left"/>
        <w:rPr/>
      </w:pPr>
      <w:r>
        <w:rPr>
          <w:rFonts w:ascii="Times New Roman;serif" w:hAnsi="Times New Roman;serif"/>
          <w:b/>
          <w:i/>
          <w:color w:val="000000"/>
          <w:sz w:val="20"/>
        </w:rPr>
        <w:t>Adjusted Net Income.</w:t>
      </w:r>
      <w:r>
        <w:rPr>
          <w:color w:val="000000"/>
        </w:rPr>
        <w:t xml:space="preserve"> </w:t>
      </w:r>
      <w:r>
        <w:rPr>
          <w:rFonts w:ascii="Times New Roman;serif" w:hAnsi="Times New Roman;serif"/>
          <w:b w:val="false"/>
          <w:color w:val="000000"/>
          <w:sz w:val="20"/>
        </w:rPr>
        <w:t>Adjusted net income increased $4.8 million, or 7.9%, for the three months ended June 30, 2026 when compared to the same period in 2025, primarily due to the increase in adjusted income from operations noted above, partially offset by higher interest expense from our senior secured credit facilities.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the Six Months Ended June 30, 2025</w:t>
      </w:r>
    </w:p>
    <w:p>
      <w:pPr>
        <w:pStyle w:val="TextBody"/>
        <w:bidi w:val="0"/>
        <w:spacing w:lineRule="auto" w:line="288" w:before="120" w:after="60"/>
        <w:jc w:val="left"/>
        <w:rPr/>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Revenue increased by $94.3 million, or 7%, to $1.5 billion for the six months ended June 30, 2026 from $1.4 billion for the same period in 2025. The following table summarizes the revenue and percentage of total revenue for each of our segments for the six months ended June 30, 2026 and 2025:</w:t>
      </w:r>
    </w:p>
    <w:tbl>
      <w:tblPr>
        <w:tblW w:w="10205" w:type="dxa"/>
        <w:jc w:val="center"/>
        <w:tblInd w:w="0" w:type="dxa"/>
        <w:tblLayout w:type="fixed"/>
        <w:tblCellMar>
          <w:top w:w="28" w:type="dxa"/>
          <w:left w:w="28" w:type="dxa"/>
          <w:bottom w:w="28" w:type="dxa"/>
          <w:right w:w="28" w:type="dxa"/>
        </w:tblCellMar>
      </w:tblPr>
      <w:tblGrid>
        <w:gridCol w:w="845"/>
        <w:gridCol w:w="743"/>
        <w:gridCol w:w="747"/>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721"/>
        <w:gridCol w:w="109"/>
        <w:gridCol w:w="109"/>
        <w:gridCol w:w="109"/>
        <w:gridCol w:w="109"/>
        <w:gridCol w:w="255"/>
        <w:gridCol w:w="256"/>
        <w:gridCol w:w="317"/>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2026 vs 2025</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service center-based child care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Tuition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1,007,751 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960,327 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91.4 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47,424 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4.9 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Management fees and operating subsidies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90,180 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90,487 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(0.3)</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Back-up care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Educational advisory services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generated by the full service center-based child care segment in the six months ended June 30, 2026 increased by $47.1 million, or 4.5%, when compared to the same period in 2025. Tuition revenue increased by $47.4 million, or 5%, when compared to the prior year, primarily due to average tuition rate increases of approximately 4%, offset by the impact of centers that have closed since December 31, 2024, which reduced revenue by approximately 2.5%, and by lower enrollment in our Australia centers which reduced revenue by approximately 1%. Fluctuations in foreign currency exchange rates for our United Kingdom, Netherlands and Australia operations increased 2026 tuition revenue by approximately 2%, or $21.5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fees and operating subsidies from employer sponsors remained relatively consistent with the prior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generated by back-up care services in the six months ended June 30, 2026 increased by $47.0 million, or 16%, when compared to the same period in 2025. Revenue growth in the back-up care segment was primarily attributable to increased utilization of center-based care, in-home care, and school-age programs by new and existing clients.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generated by educational advisory services in the six months ended June 30, 2026 remained consistent with the same period in the prior year.</w:t>
      </w:r>
    </w:p>
    <w:p>
      <w:pPr>
        <w:pStyle w:val="TextBody"/>
        <w:bidi w:val="0"/>
        <w:spacing w:lineRule="auto" w:line="288" w:before="120" w:after="120"/>
        <w:jc w:val="left"/>
        <w:rPr/>
      </w:pPr>
      <w:r>
        <w:rPr>
          <w:rFonts w:ascii="Times New Roman;serif" w:hAnsi="Times New Roman;serif"/>
          <w:b/>
          <w:i/>
          <w:color w:val="000000"/>
          <w:sz w:val="20"/>
        </w:rPr>
        <w:t>Cost of Services.</w:t>
      </w:r>
      <w:r>
        <w:rPr>
          <w:color w:val="000000"/>
        </w:rPr>
        <w:t xml:space="preserve"> </w:t>
      </w:r>
      <w:r>
        <w:rPr>
          <w:rFonts w:ascii="Times New Roman;serif" w:hAnsi="Times New Roman;serif"/>
          <w:b w:val="false"/>
          <w:color w:val="000000"/>
          <w:sz w:val="20"/>
        </w:rPr>
        <w:t>Cost of services increased $80.1 million, or 8%, to $1.1 billion for the six months ended June 30, 2026 when compared to the same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 of services in the full service center-based child care segment increased by $50.8 million, or 6%, to $0.9 billion in the six months ended June 30, 2026 when compared to the same period in 2025. The increase in cost of services was primarily associated with increased personnel costs, an increase of 5% during the six months ended June 30, 2026 compared to the same period in the prior year, related to average hourly wage rate increases of approximately 3%, higher benefits costs, including medical care expenses, and the impact of foreign currency exchange rates, offset by reductions in labor from net center closures since the prior year. Impairment losses of $12.8 million, primarily related to long-lived assets, arising from center closures, changes in market assumptions and reduced operating performance at certain centers, also contributed to the increase in cost of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 of services in the back-up care segment increased $28.4 million, or 18%, to $189.9 million in the six months ended June 30, 2026 when compared to the prior year. The increase in cost of services correlates to the increase in revenue and is primarily associated with provider fees to serve the increase in utilization levels of center-based care, in-home care, and school-age programs over the prior year, and the continued investment in technology to support our customer user experience, service offerings, and marketing outreach.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 of services in the educational advisory services segment increased by $0.9 million, or 3%, to $30.3 million in the six months ended June 30, 2026 when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increased $14.2 million, or 4%, to $352.5 million for the six months ended June 30, 2026 from $338.3 million for the same period in 2025 primarily due to incremental gross profit contributions from the back-up care segment, resulting from higher utilization of back-up care services, partially offset by impairment losses related to the full service center-based child care segment. Gross profit margin was 24% of revenue for the six months ended June 30, 2026, relatively consistent with the six months ended June 30, 2025.</w:t>
      </w:r>
    </w:p>
    <w:p>
      <w:pPr>
        <w:pStyle w:val="TextBody"/>
        <w:bidi w:val="0"/>
        <w:spacing w:lineRule="auto" w:line="288" w:before="120" w:after="120"/>
        <w:jc w:val="left"/>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SGA increased $18.7 million, or 10%, to $205.4 million for the six months ended June 30, 2026 from $186.7 million for the same period in 2025, due to higher personnel and technology costs, and impairment losses of $6.3 million related to goodwill in the full service center-based child care segment attributable to an immaterial foreign reporting unit specializing in tutoring services. SGA was 14% of revenue for the six months ended June 30, 2026, which is relatively consistent with the same period in 2025.</w:t>
      </w:r>
    </w:p>
    <w:p>
      <w:pPr>
        <w:pStyle w:val="TextBody"/>
        <w:bidi w:val="0"/>
        <w:spacing w:lineRule="auto" w:line="288" w:before="120" w:after="120"/>
        <w:jc w:val="left"/>
        <w:rPr/>
      </w:pPr>
      <w:r>
        <w:rPr>
          <w:rFonts w:ascii="Times New Roman;serif" w:hAnsi="Times New Roman;serif"/>
          <w:b/>
          <w:i/>
          <w:color w:val="000000"/>
          <w:sz w:val="20"/>
        </w:rPr>
        <w:t>Amortization of Intangible Assets.</w:t>
      </w:r>
      <w:r>
        <w:rPr>
          <w:color w:val="000000"/>
        </w:rPr>
        <w:t xml:space="preserve"> </w:t>
      </w:r>
      <w:r>
        <w:rPr>
          <w:rFonts w:ascii="Times New Roman;serif" w:hAnsi="Times New Roman;serif"/>
          <w:b w:val="false"/>
          <w:color w:val="000000"/>
          <w:sz w:val="20"/>
        </w:rPr>
        <w:t>Amortization expense on intangible assets of $2.3 million for the six months ended June 30, 2026, decreased from $3.3 million for the six months ended June 30, 2025 primarily due to certain intangible assets becoming fully amortized since the prior year.</w:t>
      </w:r>
    </w:p>
    <w:p>
      <w:pPr>
        <w:pStyle w:val="TextBody"/>
        <w:bidi w:val="0"/>
        <w:spacing w:lineRule="auto" w:line="288" w:before="120" w:after="60"/>
        <w:jc w:val="left"/>
        <w:rPr/>
      </w:pPr>
      <w:r>
        <w:rPr>
          <w:rFonts w:ascii="Times New Roman;serif" w:hAnsi="Times New Roman;serif"/>
          <w:b/>
          <w:i/>
          <w:color w:val="000000"/>
          <w:sz w:val="20"/>
        </w:rPr>
        <w:t>Income from Operations.</w:t>
      </w:r>
      <w:r>
        <w:rPr>
          <w:color w:val="000000"/>
        </w:rPr>
        <w:t xml:space="preserve"> </w:t>
      </w:r>
      <w:r>
        <w:rPr>
          <w:rFonts w:ascii="Times New Roman;serif" w:hAnsi="Times New Roman;serif"/>
          <w:b w:val="false"/>
          <w:color w:val="000000"/>
          <w:sz w:val="20"/>
        </w:rPr>
        <w:t>Income from operations decreased by $3.6 million, or 2%, to $144.8 million for the six months ended June 30, 2026 when compared to the same period in 2025. The following table summarizes income from operations and percentage of revenue for each of our segments for the six months ended June 30, 2026 and 2025:</w:t>
      </w:r>
    </w:p>
    <w:tbl>
      <w:tblPr>
        <w:tblW w:w="10205" w:type="dxa"/>
        <w:jc w:val="center"/>
        <w:tblInd w:w="0" w:type="dxa"/>
        <w:tblLayout w:type="fixed"/>
        <w:tblCellMar>
          <w:top w:w="28" w:type="dxa"/>
          <w:left w:w="28" w:type="dxa"/>
          <w:bottom w:w="28" w:type="dxa"/>
          <w:right w:w="28" w:type="dxa"/>
        </w:tblCellMar>
      </w:tblPr>
      <w:tblGrid>
        <w:gridCol w:w="981"/>
        <w:gridCol w:w="863"/>
        <w:gridCol w:w="867"/>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11"/>
        <w:gridCol w:w="787"/>
        <w:gridCol w:w="109"/>
        <w:gridCol w:w="109"/>
        <w:gridCol w:w="109"/>
        <w:gridCol w:w="109"/>
        <w:gridCol w:w="288"/>
        <w:gridCol w:w="288"/>
        <w:gridCol w:w="320"/>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2026 vs 2025</w:t>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service center-based child care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Back-up care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Educational advisory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change in income from operations was due to the following:</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Income from operations for the full service center-based child care segment decreased $11.6 million, or 16%, in the six months ended June 30, 2026 when compared to the same period in 2025, primarily due to primarily due to impairment losses of $19.1 million</w:t>
      </w:r>
      <w:r>
        <w:rPr>
          <w:color w:val="000000"/>
        </w:rPr>
        <w:t xml:space="preserve"> </w:t>
      </w:r>
      <w:r>
        <w:rPr>
          <w:rFonts w:ascii="Times New Roman;serif" w:hAnsi="Times New Roman;serif"/>
          <w:b w:val="false"/>
          <w:color w:val="000000"/>
          <w:sz w:val="20"/>
        </w:rPr>
        <w:t>related to long-lived assets and goodwill, arising from center closures, changes in market assumptions and reduced operating performance at certain centers, and increased personnel costs, partially offset by increases in tuition revenue from annual tuition rate increases and enrollment gains.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Income from operations for the back-up care segment increased $8.5 million, or 13%, in the six months ended June 30, 2026 when compared to the same period in 2025, primarily due to incremental gross profit contributions from expanded utilization of back-up care services, partially offset by increases in technology and marketing investments to improve the customer experience.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Income from operations for the educational advisory services segment decreased $0.5 million, or 7%, in the six months ended June 30, 2026 when compared to the same period in 2025.</w:t>
      </w:r>
    </w:p>
    <w:p>
      <w:pPr>
        <w:pStyle w:val="TextBody"/>
        <w:bidi w:val="0"/>
        <w:spacing w:lineRule="auto" w:line="288" w:before="120" w:after="120"/>
        <w:jc w:val="left"/>
        <w:rPr/>
      </w:pPr>
      <w:r>
        <w:rPr>
          <w:rFonts w:ascii="Times New Roman;serif" w:hAnsi="Times New Roman;serif"/>
          <w:b/>
          <w:i/>
          <w:color w:val="000000"/>
          <w:sz w:val="20"/>
        </w:rPr>
        <w:t>Net Interest Expense.</w:t>
      </w:r>
      <w:r>
        <w:rPr>
          <w:color w:val="000000"/>
        </w:rPr>
        <w:t xml:space="preserve"> </w:t>
      </w:r>
      <w:r>
        <w:rPr>
          <w:rFonts w:ascii="Times New Roman;serif" w:hAnsi="Times New Roman;serif"/>
          <w:b w:val="false"/>
          <w:color w:val="000000"/>
          <w:sz w:val="20"/>
        </w:rPr>
        <w:t>Net interest expense was $26.0 million for the six months ended June 30, 2026, an increase from net interest expense of $20.9 million for the same period in 2025, primarily due to higher average borrowings as well as higher interest rates applicable to our debt. The weighted average interest rate for the term loans and revolving credit facility was 4.87% for the six months ended June 30, 2026 compared to 4.32% for the same period in 2025, inclusive of the effects of the cash flow hedges.</w:t>
      </w:r>
    </w:p>
    <w:p>
      <w:pPr>
        <w:pStyle w:val="TextBody"/>
        <w:bidi w:val="0"/>
        <w:spacing w:lineRule="auto" w:line="288" w:before="120" w:after="120"/>
        <w:jc w:val="left"/>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We recorded income tax expense of $44.0 million for the six months ended June 30, 2026 at an effective income tax rate of 37%, compared to an income tax expense of $34.6 million during the six months ended June 30, 2025, at an effective income tax rate of 27%. The difference between the effective income tax rates as compared to the statutory income tax rates was primarily due to the impact of unbenefited losses and the effects of net excess tax benefit (shortfall tax expense) associated with the exercise or expiration of stock options and vesting of restricted stock. The effective income tax rate may fluctuate from quarter to quarter for various reasons, including changes to income before income tax, jurisdictional mix of income before income tax, unbenefited losses, valuation allowances, jurisdictional income tax rate changes, as well as discrete items such as non-deductible transaction costs, the settlement of foreign, federal and state tax matters and the effects of excess tax benefit (shortfall tax expense) associated with the exercise or expiration of stock options and vesting of restricted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net shortfall tax expense from stock-based compensation increased tax expense by $3.0 million. During the six months ended June 30, 2025, the net excess tax benefit from stock-based compensation decreased tax expense by $1.3 million. For the six months ended June 30, 2026 and 2025, prior to the inclusion of the excess tax benefit (shortfall tax expense), other discrete items and unbenefited losses in certain foreign jurisdictions, the effective tax rate approximated 28% and 27%, respectively.</w:t>
      </w:r>
    </w:p>
    <w:p>
      <w:pPr>
        <w:pStyle w:val="TextBody"/>
        <w:bidi w:val="0"/>
        <w:spacing w:lineRule="auto" w:line="288" w:before="120" w:after="120"/>
        <w:jc w:val="left"/>
        <w:rPr/>
      </w:pPr>
      <w:r>
        <w:rPr>
          <w:rFonts w:ascii="Times New Roman;serif" w:hAnsi="Times New Roman;serif"/>
          <w:b/>
          <w:i/>
          <w:color w:val="000000"/>
          <w:sz w:val="20"/>
        </w:rPr>
        <w:t xml:space="preserve">Adjusted EBITDA and Adjusted Income from Operations. </w:t>
      </w:r>
      <w:r>
        <w:rPr>
          <w:rFonts w:ascii="Times New Roman;serif" w:hAnsi="Times New Roman;serif"/>
          <w:b w:val="false"/>
          <w:color w:val="000000"/>
          <w:sz w:val="20"/>
        </w:rPr>
        <w:t>Adjusted EBITDA and adjusted income from operations increased $18.2 million, or 9%, and $15.6 million, or 11%, respectively, for the six months ended June 30, 2026 over the comparable period in 2025 primarily due to the incremental contributions from the back-up care segment resulting from increased utilization and from the full service child-care segment resulting from improved operating leverage.</w:t>
      </w:r>
    </w:p>
    <w:p>
      <w:pPr>
        <w:pStyle w:val="TextBody"/>
        <w:bidi w:val="0"/>
        <w:spacing w:lineRule="auto" w:line="288" w:before="120" w:after="120"/>
        <w:jc w:val="left"/>
        <w:rPr/>
      </w:pPr>
      <w:r>
        <w:rPr>
          <w:rFonts w:ascii="Times New Roman;serif" w:hAnsi="Times New Roman;serif"/>
          <w:b/>
          <w:i/>
          <w:color w:val="000000"/>
          <w:sz w:val="20"/>
        </w:rPr>
        <w:t>Adjusted Net Income.</w:t>
      </w:r>
      <w:r>
        <w:rPr>
          <w:color w:val="000000"/>
        </w:rPr>
        <w:t xml:space="preserve"> </w:t>
      </w:r>
      <w:r>
        <w:rPr>
          <w:rFonts w:ascii="Times New Roman;serif" w:hAnsi="Times New Roman;serif"/>
          <w:b w:val="false"/>
          <w:color w:val="000000"/>
          <w:sz w:val="20"/>
        </w:rPr>
        <w:t>Adjusted net income increased $4.7 million, or 4%, for the six months ended June 30, 2026 when compared to the same period in 2025, primarily due to the increase in adjusted income from operations noted above, partially offset by higher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Non-GAAP Financial Measures and Reconciliation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quarterly and annual reports, earnings press releases and conference calls, we discuss key financial measures that are not calculated in accordance with GAAP to supplement our consolidated financial statements presented on a GAAP basis. These non-GAAP financial measures of adjusted EBITDA, adjusted income from operations, adjusted net income and diluted adjusted earnings per common share are reconciled from their most directly comparable financial measures determined in accordance with GAAP as follows:</w:t>
      </w:r>
    </w:p>
    <w:tbl>
      <w:tblPr>
        <w:tblW w:w="10205" w:type="dxa"/>
        <w:jc w:val="center"/>
        <w:tblInd w:w="0" w:type="dxa"/>
        <w:tblLayout w:type="fixed"/>
        <w:tblCellMar>
          <w:top w:w="28" w:type="dxa"/>
          <w:left w:w="28" w:type="dxa"/>
          <w:bottom w:w="28" w:type="dxa"/>
          <w:right w:w="28" w:type="dxa"/>
        </w:tblCellMar>
      </w:tblPr>
      <w:tblGrid>
        <w:gridCol w:w="1633"/>
        <w:gridCol w:w="1389"/>
        <w:gridCol w:w="1396"/>
        <w:gridCol w:w="216"/>
        <w:gridCol w:w="865"/>
        <w:gridCol w:w="109"/>
        <w:gridCol w:w="109"/>
        <w:gridCol w:w="109"/>
        <w:gridCol w:w="109"/>
        <w:gridCol w:w="216"/>
        <w:gridCol w:w="865"/>
        <w:gridCol w:w="109"/>
        <w:gridCol w:w="109"/>
        <w:gridCol w:w="109"/>
        <w:gridCol w:w="109"/>
        <w:gridCol w:w="216"/>
        <w:gridCol w:w="865"/>
        <w:gridCol w:w="109"/>
        <w:gridCol w:w="109"/>
        <w:gridCol w:w="109"/>
        <w:gridCol w:w="109"/>
        <w:gridCol w:w="216"/>
        <w:gridCol w:w="865"/>
        <w:gridCol w:w="155"/>
      </w:tblGrid>
      <w:tr>
        <w:trPr/>
        <w:tc>
          <w:tcPr>
            <w:tcW w:w="163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Additional adjustments: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(b)</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115,615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226,162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207,919</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148,324</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interest costs </w:t>
            </w:r>
            <w:r>
              <w:rPr>
                <w:rFonts w:ascii="Times New Roman;serif" w:hAnsi="Times New Roman;serif"/>
                <w:b w:val="false"/>
                <w:color w:val="000000"/>
                <w:sz w:val="13"/>
              </w:rPr>
              <w:t>(c)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income tax expense </w:t>
            </w:r>
            <w:r>
              <w:rPr>
                <w:rFonts w:ascii="Times New Roman;serif" w:hAnsi="Times New Roman;serif"/>
                <w:b w:val="false"/>
                <w:color w:val="000000"/>
                <w:sz w:val="13"/>
              </w:rPr>
              <w:t>(d)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66,339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106,223</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57,831,930 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Diluted adjusted earnings per common share </w:t>
            </w:r>
            <w:r>
              <w:rPr>
                <w:rFonts w:ascii="Times New Roman;serif" w:hAnsi="Times New Roman;serif"/>
                <w:b/>
                <w:color w:val="000000"/>
                <w:sz w:val="13"/>
              </w:rPr>
              <w:t>(e)</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(a)Impairment losses represent charges related to long-lived assets and goodwill arising from center closures, changes in market assumptions and reduced operating performance at certain centers. For the three and six months ended June 30, 2026, impairment losses totaled $19.1 million related to the full service center-based child care segment, of which $12.8 million was recorded to cost of services and $6.3 million was recorded to selling, general and administrative expenses in the second quarter.</w:t>
      </w:r>
    </w:p>
    <w:p>
      <w:pPr>
        <w:pStyle w:val="TextBody"/>
        <w:bidi w:val="0"/>
        <w:spacing w:lineRule="auto" w:line="288" w:before="20" w:after="20"/>
        <w:ind w:left="0" w:right="0" w:hanging="360"/>
        <w:jc w:val="left"/>
        <w:rPr/>
      </w:pPr>
      <w:r>
        <w:rPr>
          <w:rFonts w:ascii="Times New Roman;serif" w:hAnsi="Times New Roman;serif"/>
          <w:b w:val="false"/>
          <w:color w:val="000000"/>
          <w:sz w:val="18"/>
        </w:rPr>
        <w:t xml:space="preserve">(b)Stock-based compensation expense represents non-cash stock-based compensation expense in accordance with Accounting Standards Codification Topic 718, </w:t>
      </w:r>
      <w:r>
        <w:rPr>
          <w:rFonts w:ascii="Times New Roman;serif" w:hAnsi="Times New Roman;serif"/>
          <w:b w:val="false"/>
          <w:i/>
          <w:color w:val="000000"/>
          <w:sz w:val="18"/>
        </w:rPr>
        <w:t>Compensation-Stock Compensation</w:t>
      </w:r>
      <w:r>
        <w:rPr>
          <w:rFonts w:ascii="Times New Roman;serif" w:hAnsi="Times New Roman;serif"/>
          <w:b w:val="false"/>
          <w:color w:val="000000"/>
          <w:sz w:val="18"/>
        </w:rPr>
        <w:t>.</w:t>
      </w:r>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(c)Other interest costs in the three and six months ended June 30, 2025 consist of costs incurred in connection with the April 2025 debt refinancing of $0.6 million, which are included in interest expense on the statement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(d)Adjusted income tax expense represents income tax expense calculated on adjusted income before income tax at an effective tax rate of approximately 29% and 28% for the three and six months ended June 30, 2026, respectively, and of approximately 27% for both the three and six months ended June 30, 2025. The jurisdictional mix of the expected adjusted income before income tax for the full year will affect the estimated effective tax rate for the year.</w:t>
      </w:r>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(e)The sum of the quarterly earnings per common share amounts does not equal the year-to-date earnings per share amounts due to the independent calculation of the weighted-average number of common shares outstanding for each discrete period, as well as rounding. This variance is primarily due to the seasonal fluctuations in our net income and changes in the weighted-average shares outstanding, including the cumulating effect of treasury repurchases during individual quarters.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Adjusted EBITDA, adjusted income from operations, adjusted net income and diluted adjusted earnings per common share are financial measures that are not calculated in accordance with GAAP (collectively referred to as “non-GAAP financial measures”), and the use of the terms adjusted EBITDA, adjusted income from operations, adjusted net income and diluted adjusted earnings per common share may differ from similar measures reported by other companies and may not be comparable to other similarly titled measures. We believe the non-GAAP financial measures provide investors with useful information with respect to our historical operations. We present the non-GAAP financial measures as supplemental performance measures because we believe they facilitate a comparative assessment of our operating performance relative to our performance based on our results under GAAP, while isolating the effects of some items that vary from period to period. Specifically, adjusted EBITDA allows for an assessment of our operating performance and of our ability to service or incur indebtedness without the effect of non-cash charges, such as depreciation, amortization, and stock-based compensation expense, and non-recurring costs, as applicable, such as debt refinancing costs, impairments, lease termination costs and transaction costs. In addition, adjusted income from operations, adjusted net income and diluted adjusted earnings per common share allow us to assess our performance without the impact of the specifically identified items that we believe do not directly reflect our core operations. These non-GAAP financial measures also function as key performance indicators used to evaluate our operating performance internally, and they are used in connection with the determination of incentive compensation for management, including executive officers. Adjusted EBITDA is also used in connection with the determination of certain ratio requirements under our credit agreement.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Adjusted EBITDA, adjusted income from operations, adjusted net income and diluted adjusted earnings per common share are not measurements of our financial performance under GAAP and should not be considered in isolation or as an alternative to income before taxes, net income, diluted earnings per common share, net cash provided by (used in) operating, investing or financing activities or any other financial statement data presented as indicators of financial performance or liquidity, each as presented in accordance with GAAP. Consequently, our non-GAAP financial measures should be considered together with our consolidated financial statements, which are prepared in accordance with GAAP and included in Part I, Item 1 of this Quarterly Report on Form 10-Q. We understand that although adjusted EBITDA, adjusted income from operations, adjusted net income and diluted adjusted earnings per common share are frequently used by securities analysts, lenders and others in their evaluation of companies, they have limitations as analytical tools, and should not be considered in isolation, or as a substitute for analysis of our results as reported under GAAP. Some of these limitations are: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adjusted EBITDA, adjusted income from operations and adjusted net income do not fully reflect our cash expenditures, future requirements for capital expenditures or contractual commitments;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adjusted EBITDA, adjusted income from operations and adjusted net income do not reflect changes in, or cash requirements for, our working capital needs;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adjusted EBITDA does not reflect the significant interest expense, or the cash requirements necessary to service interest or principal payments, on debt;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adjusted EBITDA, adjusted income from operations and adjusted net income do not reflect any cash requirements for such replacements.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Because of these limitations, adjusted EBITDA, adjusted income from operations and adjusted net income should not be considered as discretionary cash available to us to reinvest in the growth of our business or as measures of cash that will be available to us to meet our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primary cash requirements are for the ongoing operations of our existing early education and child care centers, back-up care, educational advisory services, the addition of new centers through development or acquisitions, and debt financing obligations. Our primary sources of liquidity are our existing cash, cash flows from operations, and borrowings available under our $1.0 billion multi-currency revolving credit facility (“revolving credit facility”). We had $163.7 million in cash ($167.8 million including restricted cash) as of June 30, 2026, of which $75.5 million was held in foreign jurisdictions, compared to $140.1 million in cash ($143.2 million including restricted cash) as of December 31, 2025, of which $66.3 million was held in foreign jurisdictions. Operations outside of North America accounted for 31% and 29% of our consolidated revenue in the six months ended June 30, 2026 and 2025, respectively. The net impact on our liquidity from changes in foreign currency exchange rates was not material for the six months ended June 30, 2026 and 2025. While we expect to be impacted by fluctuations in the foreign currency exchange rates throughout the remainder of the year, we do not currently expect that the effects of changes in foreign currency exchange rates will have a material net impact on our liquidity and capital resources for the remainder of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is part of our senior secured credit facilities. On June 1, 2026, we amended our existing senior secured credit facilities to, among other changes, issue a $375 million new term loan A facility as well as increase the borrowing capacity of our revolving credit facility from $900 million to $1.0 billion. On the closing date, we used the proceeds of the term loan A, together with cash on hand, to repay outstanding borrowings under the revolving credit facility, including all outstanding interest and related fees and expenses. As of June 30, 2026 and December 31, 2025, $520.1 million and $383.7 million, respectively, of the revolving credit facility was available for borrowing.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had a working capital deficit of $506.6 million and $462.2 million as of June 30, 2026 and December 31, 2025, respectively. Our working capital deficit has primarily arisen from using cash to make long-term investments in fixed assets and acquisitions, from share repurchases, and short-term borrowings on our long-term debt.</w:t>
      </w:r>
    </w:p>
    <w:p>
      <w:pPr>
        <w:pStyle w:val="TextBody"/>
        <w:bidi w:val="0"/>
        <w:spacing w:lineRule="auto" w:line="288" w:before="120" w:after="120"/>
        <w:jc w:val="left"/>
        <w:rPr/>
      </w:pPr>
      <w:r>
        <w:rPr>
          <w:rFonts w:ascii="Times New Roman;serif" w:hAnsi="Times New Roman;serif"/>
          <w:b w:val="false"/>
          <w:color w:val="000000"/>
          <w:sz w:val="20"/>
        </w:rPr>
        <w:t xml:space="preserve">As of June 30, 2026, we had $767.4 million in lease liabilities, $110.4 million of which is short-term in nature. Refer to Note 3, </w:t>
      </w:r>
      <w:r>
        <w:rPr>
          <w:rFonts w:ascii="Times New Roman;serif" w:hAnsi="Times New Roman;serif"/>
          <w:b w:val="false"/>
          <w:i/>
          <w:color w:val="000000"/>
          <w:sz w:val="20"/>
        </w:rPr>
        <w:t>Leases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 our condensed consolidated financial statements for additional information on leases, including the maturity of the contractual obligations related to our lease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Effective March 9, 2026, the board of directors authorized a new share repurchase program under which up to an aggregate of $600 million of our outstanding common stock may be repurchased. The share repurchase program has no expiration date and canceled and replaced the prior $500 million share repurchase authorization announced in June 2025, of which $127.6 million remained available thereunder. During the six months ended June 30, 2026, we repurchased approximately 6.6 million shares for $473.2 million under the repurchase program (resulting in a $4.6 million excise tax liability). During the six months ended June 30, 2025, we repurchased approximately 0.5 million shares for $60.7 million under the repurchase program (resulting in a $0.2 million excise tax liability). All repurchased shares have been retired and, as of June 30, 2026, $328.7 million remained available for future repurchases.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that funds provided by operations, our existing cash balances and borrowings available under our revolving credit facility will be adequate to fund all obligations and liquidity requirements for at least the next 12 months. Subject to market conditions, we regularly evaluate opportunities with respect to our capital structure and may choose to raise additional funds at any time through debt financing arrangements or potential refinancing of our outstanding indebtedness, which may or may not be needed for additional working capital, capital expenditures, share repurchases, or other strategic investments. Additionally, if we were to experience disruption from events not in our control or if we were to undertake any significant acquisitions or make investments in the purchase of facilities for new or existing centers, we could require financing beyond our existing cash and borrowing capacity, and it could be necessary for us to obtain additional debt or equity financing. We may not be able to obtain such financing or refinancing on reasonable terms, or at all.</w:t>
      </w:r>
    </w:p>
    <w:tbl>
      <w:tblPr>
        <w:tblW w:w="8229" w:type="dxa"/>
        <w:jc w:val="center"/>
        <w:tblInd w:w="0" w:type="dxa"/>
        <w:tblLayout w:type="fixed"/>
        <w:tblCellMar>
          <w:top w:w="28" w:type="dxa"/>
          <w:left w:w="28" w:type="dxa"/>
          <w:bottom w:w="28" w:type="dxa"/>
          <w:right w:w="28" w:type="dxa"/>
        </w:tblCellMar>
      </w:tblPr>
      <w:tblGrid>
        <w:gridCol w:w="1962"/>
        <w:gridCol w:w="1721"/>
        <w:gridCol w:w="1732"/>
        <w:gridCol w:w="211"/>
        <w:gridCol w:w="901"/>
        <w:gridCol w:w="109"/>
        <w:gridCol w:w="109"/>
        <w:gridCol w:w="109"/>
        <w:gridCol w:w="109"/>
        <w:gridCol w:w="211"/>
        <w:gridCol w:w="901"/>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$202.8 million for the six months ended June 30, 2026, compared to $220.4 million for the same period in 2025. The decrease in cash provided by operations primarily relates to changes in working capital.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$39.4 million for the six months ended June 30, 2026 compared to $38.0 million for the same period in 2025. The increase in cash used in investing activities primarily relates to an increase in net purchases of fixed assets for maintenance and refurbishments in our existing centers, technology, and new child care centers, from $34.0 million in the six months ended June 30, 2025 to $39.1 million in the six months ended June 30,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we did not invest in any acquisitions during the six months ended June 30, 2026, compared to investing $5.1 million in acquisitions during the same period in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was $137.0 million for the six months ended June 30, 2026 compared to $116.1 million for the same period in 2025. Significant financing activities in the six months ended June 30, 2026 included an increase of $411.2 million in share repurchases, or $471.5 million, compared to repurchases of $60.3 million during the same period in 2025. Offsetting this increase were net borrowings under the revolving credit facility as well as the issuance of the term loan A facility, together providing $342.7 million during the six months ended June 30, 2026, compared to net debt payments of $49.5 million during the same period in 2025, a net change of $392.2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proceeds received from the exercise of stock options were $10.2 million in the six months ended June 30, 2025, compared to no proceeds in the six months ended June 30, 2026. Taxes paid related to the net share settlement of stock options and restricted stock decreased to $7.8 million in the six months ended June 30, 2026, compared to $13.6 million in the same period in 2025.</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senior secured credit facilities consist of a term loan B facility (“term loan B”) and a term loan A facility (“term loan A” and, together with the term loan B, the “term loans”), as well as a $1.0 billion multi-currency revolving credit facility (“revolving credit facility”).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Long-term debt obligations were as follows:</w:t>
      </w:r>
    </w:p>
    <w:tbl>
      <w:tblPr>
        <w:tblW w:w="7487" w:type="dxa"/>
        <w:jc w:val="left"/>
        <w:tblInd w:w="0" w:type="dxa"/>
        <w:tblLayout w:type="fixed"/>
        <w:tblCellMar>
          <w:top w:w="28" w:type="dxa"/>
          <w:left w:w="28" w:type="dxa"/>
          <w:bottom w:w="28" w:type="dxa"/>
          <w:right w:w="28" w:type="dxa"/>
        </w:tblCellMar>
      </w:tblPr>
      <w:tblGrid>
        <w:gridCol w:w="1564"/>
        <w:gridCol w:w="1372"/>
        <w:gridCol w:w="1384"/>
        <w:gridCol w:w="211"/>
        <w:gridCol w:w="976"/>
        <w:gridCol w:w="109"/>
        <w:gridCol w:w="109"/>
        <w:gridCol w:w="109"/>
        <w:gridCol w:w="109"/>
        <w:gridCol w:w="273"/>
        <w:gridCol w:w="1072"/>
        <w:gridCol w:w="199"/>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947,166 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747,614 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term loan B matures on August 21, 2032 and as a result of voluntary prepayments totaling $133.5 million in 2025, the remaining principal balance of $450 million is due at maturity.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1, 2026, the Company amended its existing senior secured credit facilities to, among other changes, issue a $375 million new term loan A facility. The term loan A matures on April 17, 2030 and requires scheduled quarterly amortization payments equal to 2.5% per annum of the original aggregate principal amount of the term loan A for the period commencing September 30, 2026 through and including June 30, 2028, increasing to 5.0% per annum thereafter through March 30, 2030. The remaining principal balance is due at maturity.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conjunction with the June 1, 2026 amendment, the Company increased the borrowing capacity of its revolving credit commitments under the revolving credit facility from $900 million to $1.0 billion, which matures on April 17, 2030. As of June 30, 2026, borrowings outstanding on the revolving credit facility were $459.5 million (composed of $365.0 million, €48.8 million and £29.3 million) and letters of credit outstanding were $20.2 million, with $520.1 million available for borrowing. As of December 31, 2025, borrowings outstanding on the revolving credit facility were $496.5 million (composed of $370.0 million, €71.8 million and £31.4 million) and letters of credit outstanding were $20.2 million, with $383.7 million available for borrowing. Additionally, a AU$9.4 million (USD$6.5 million) uncommitted working capital credit facility is available in Australia for short-term borrowing purposes. As of June 30, 2026 and December 31, 2025, there were AU$9.4 million (USD$6.5 million) and AU$4.5 million (USD$3.0 million) borrowings outstanding under this facility,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Borrowings under the senior secured credit facilities are subject to variable interest. We mitigate our interest rate exposure with interest rate cap agreements. In December 2021, we entered into interest rate cap agreements with a total notional value of $900 million. Interest rate cap agreements for $600 million, which had a forward starting effective date of October 31, 2023 and expired on October 31, 2025, provided us with interest rate protection in the event the one-month term SOFR rate increased above 2.4%. Interest rate cap agreements for $300 million, which had a forward starting effective date of October 31, 2023 and expire on October 31, 2026, provide us with interest rate protection in the event the one-month term SOFR rate increases above 2.9%.</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March and July 2025, we entered into additional interest rate cap agreements with a total notional value of $150 million and $100 million, respectively, designated and accounted for as cash flow hedges from inception. The March and July 2025 interest rate cap agreements, both of which had forward starting effective dates of October 31, 2025, provide us with interest rate protection in the event the one-month term SOFR rate increases above 3.5% and 3.0%, respectively, and expire on October 31, 2027 and October 31, 2026,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an additional interest rate cap agreement with a total notional value of $150 million, designated and accounted for as a cash flow hedge from inception. The interest rate cap agreement, which has a forward starting effective date of October 30, 2026, provides us with interest rate protection in the event the one-month term SOFR rate increases above 2.75%, and expires on October 31, 2027.</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blended weighted average interest rate for the term loans and revolving credit facility was 4.87% and 4.32% for the six months ended June 30, 2026 and 2025, respectively, including the impact of the cash flow hedges. Based on the current interest rate projections, we estimate that our overall weighted average interest rate will be in the range of 5.25% to 5.50% for the remainder of 2026, inclusive of the effects of the cash flow hedges.</w:t>
      </w:r>
    </w:p>
    <w:p>
      <w:pPr>
        <w:pStyle w:val="TextBody"/>
        <w:bidi w:val="0"/>
        <w:spacing w:lineRule="auto" w:line="288" w:before="120" w:after="120"/>
        <w:jc w:val="left"/>
        <w:rPr/>
      </w:pPr>
      <w:r>
        <w:rPr>
          <w:rFonts w:ascii="Times New Roman;serif" w:hAnsi="Times New Roman;serif"/>
          <w:b w:val="false"/>
          <w:color w:val="000000"/>
          <w:sz w:val="20"/>
        </w:rPr>
        <w:t xml:space="preserve">The term loan A and the revolving credit facility require Bright Horizons Family Solutions LLC, the borrower, and its restricted subsidiaries, to comply with a maximum first lien net leverage ratio. A breach of this covenant is subject to certain equity cure rights. The credit agreement governing the senior secured credit facilities contains certain customary affirmative covenants and events of default. We were in compliance with our financial covenant at June 30, 2026. Refer to Note 6, </w:t>
      </w:r>
      <w:r>
        <w:rPr>
          <w:rFonts w:ascii="Times New Roman;serif" w:hAnsi="Times New Roman;serif"/>
          <w:b w:val="false"/>
          <w:i/>
          <w:color w:val="000000"/>
          <w:sz w:val="20"/>
        </w:rPr>
        <w:t>Credit Arrangements and Debt Obligations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 our condensed consolidated financial statements for additional information on our debt and credit arrangements, future principal payments of long-term debt, and covenant requirements.</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120"/>
        <w:jc w:val="left"/>
        <w:rPr/>
      </w:pPr>
      <w:r>
        <w:rPr>
          <w:rFonts w:ascii="Times New Roman;serif" w:hAnsi="Times New Roman;serif"/>
          <w:b w:val="false"/>
          <w:color w:val="000000"/>
          <w:sz w:val="20"/>
        </w:rPr>
        <w:t>For a discussion of our “Critical Accounting Policies,” refer to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year ended December 31, 2025. There have been no material changes to our critical accounting policies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left"/>
        <w:rPr/>
      </w:pPr>
      <w:r>
        <w:rPr>
          <w:rFonts w:ascii="Times New Roman;serif" w:hAnsi="Times New Roman;serif"/>
          <w:b w:val="false"/>
          <w:color w:val="000000"/>
          <w:sz w:val="20"/>
        </w:rPr>
        <w:t>We are exposed to market risk from changes in interest rates and fluctuations in foreign currency exchange rates. We do not believe there have been material changes in our exposure to interest rate or foreign currency exchange rate fluctuations since December 31, 2025. See Part II, Item 7A,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 our Annual Report on Form 10-K for the year ended December 31, 2025 for further information regarding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we conducted an evaluation under the supervision and with the participation of management, including our Chief Executive Officer and Chief Financial Officer (our principal executive officer and principal financial officer, respectively), regarding the effectiveness of the design and operation of our disclosure controls and procedures as defined in Rule 13a-15(e) and 15d-15(e) of the Securities Exchange Act of 1934, as amended (the “Exchange Act”). The term “disclosure controls and procedures” means controls and other procedures that are designed to ensure that information required to be disclosed in reports that we file or submit under the Exchange Act is recorded, processed, summarized and reported within the requisite time periods and that such disclosure controls and procedures were effective to ensure that information required to be disclosed by the Company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Based on this evaluation, our Chief Executive Officer and Chief Financial Officer concluded that our disclosure controls and procedures (as defined in Exchange Act Rules 13a-15(e) and 15d-15(e)) were effective as of June 30, 2026.</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from time to time, subject to claims, suits, and matters arising in the ordinary course of business. Such claims have in the past generally been covered by insurance, but there can be no assurance that our insurance will be adequate to cover all liabilities that may arise out of claims or matters brought against us. We believe the resolution of such legal matters will not have a material adverse effect on our financial position, results of operations, or cash flows, although we cannot predict the ultimate outcome of any such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pPr>
      <w:r>
        <w:rPr>
          <w:rFonts w:ascii="Times New Roman;serif" w:hAnsi="Times New Roman;serif"/>
          <w:b w:val="false"/>
          <w:color w:val="000000"/>
          <w:sz w:val="20"/>
        </w:rPr>
        <w:t>Our operations and financial results are subject to various risks and uncertainties, which could adversely affect our business, financial condition and operating results. We believe that these risks and uncertainties include, but are not limited to, those disclosed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our Annual Report on Form 10-K for the year ended December 31, 2025. The risks described in our Annual Report on Form 10-K are not the only risks we face. Additional risks and uncertainties, not presently known to us or that we currently deem immaterial, could materially impair our business, financial condition or results of operations. There have been no material changes to our risk factors as previously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sets forth information regarding purchases of our common stock during the three months ended June 30, 2026:</w:t>
      </w:r>
    </w:p>
    <w:tbl>
      <w:tblPr>
        <w:tblW w:w="10205" w:type="dxa"/>
        <w:jc w:val="center"/>
        <w:tblInd w:w="0" w:type="dxa"/>
        <w:tblLayout w:type="fixed"/>
        <w:tblCellMar>
          <w:top w:w="28" w:type="dxa"/>
          <w:left w:w="28" w:type="dxa"/>
          <w:bottom w:w="28" w:type="dxa"/>
          <w:right w:w="28" w:type="dxa"/>
        </w:tblCellMar>
      </w:tblPr>
      <w:tblGrid>
        <w:gridCol w:w="493"/>
        <w:gridCol w:w="433"/>
        <w:gridCol w:w="435"/>
        <w:gridCol w:w="109"/>
        <w:gridCol w:w="109"/>
        <w:gridCol w:w="109"/>
        <w:gridCol w:w="902"/>
        <w:gridCol w:w="601"/>
        <w:gridCol w:w="604"/>
        <w:gridCol w:w="109"/>
        <w:gridCol w:w="109"/>
        <w:gridCol w:w="109"/>
        <w:gridCol w:w="264"/>
        <w:gridCol w:w="771"/>
        <w:gridCol w:w="136"/>
        <w:gridCol w:w="109"/>
        <w:gridCol w:w="109"/>
        <w:gridCol w:w="109"/>
        <w:gridCol w:w="874"/>
        <w:gridCol w:w="681"/>
        <w:gridCol w:w="683"/>
        <w:gridCol w:w="109"/>
        <w:gridCol w:w="109"/>
        <w:gridCol w:w="109"/>
        <w:gridCol w:w="356"/>
        <w:gridCol w:w="1396"/>
        <w:gridCol w:w="268"/>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(or Units)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w:t>
              <w:br/>
              <w:t>per Share (or Unit)</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 (or Units) Purchased as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Part of Publicly Announced</w:t>
            </w:r>
          </w:p>
          <w:p>
            <w:pPr>
              <w:pStyle w:val="TableContents"/>
              <w:bidi w:val="0"/>
              <w:spacing w:lineRule="auto" w:line="240" w:before="0" w:after="0"/>
              <w:jc w:val="center"/>
              <w:rPr/>
            </w:pPr>
            <w:r>
              <w:rPr>
                <w:rFonts w:ascii="Times New Roman;serif" w:hAnsi="Times New Roman;serif"/>
                <w:b/>
                <w:color w:val="000000"/>
                <w:sz w:val="18"/>
              </w:rPr>
              <w:t xml:space="preserve">Plans or Programs </w:t>
            </w:r>
            <w:r>
              <w:rPr>
                <w:rFonts w:ascii="Times New Roman;serif" w:hAnsi="Times New Roman;serif"/>
                <w:b/>
                <w:color w:val="000000"/>
                <w:sz w:val="12"/>
              </w:rPr>
              <w:t>(1)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Approximate Dollar Value of Shares/Units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that May Yet Be Purchased Under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Plans or Programs</w:t>
            </w:r>
          </w:p>
          <w:p>
            <w:pPr>
              <w:pStyle w:val="TableContents"/>
              <w:bidi w:val="0"/>
              <w:spacing w:lineRule="auto" w:line="240" w:before="0" w:after="0"/>
              <w:jc w:val="center"/>
              <w:rPr/>
            </w:pPr>
            <w:r>
              <w:rPr>
                <w:rFonts w:ascii="Times New Roman;serif" w:hAnsi="Times New Roman;serif"/>
                <w:b/>
                <w:color w:val="000000"/>
                <w:sz w:val="18"/>
              </w:rPr>
              <w:t xml:space="preserve">(In thousands) </w:t>
            </w:r>
            <w:r>
              <w:rPr>
                <w:rFonts w:ascii="Times New Roman;serif" w:hAnsi="Times New Roman;serif"/>
                <w:b/>
                <w:color w:val="000000"/>
                <w:sz w:val="12"/>
              </w:rPr>
              <w:t>(2)</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w:t>
            </w:r>
          </w:p>
        </w:tc>
      </w:tr>
      <w:tr>
        <w:trPr/>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315,000 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315,000 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550,949 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1,695,000 </w:t>
            </w:r>
          </w:p>
        </w:tc>
        <w:tc>
          <w:tcPr>
            <w:tcW w:w="6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1,695,000 </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436,125 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1,642,156 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1,642,156 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3,652,156 </w:t>
            </w:r>
          </w:p>
        </w:tc>
        <w:tc>
          <w:tcPr>
            <w:tcW w:w="6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3,652,156 </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board of directors of the Company authorized a new share repurchase program of up to $600 million of the Company’s outstanding common stock effective March 9, 2026. The share repurchase program has no expiration date. The March 2026 share repurchase program canceled and replaced the prior share repurchase program of up to $500 million announced in June 2025, of which approximately $127.6 million remained available thereunder. All repurchased shares have been retired.</w:t>
      </w:r>
    </w:p>
    <w:p>
      <w:pPr>
        <w:pStyle w:val="TextBody"/>
        <w:bidi w:val="0"/>
        <w:spacing w:lineRule="auto" w:line="288" w:before="6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number shown represents, as of the end of each period, the approximate dollar value of the Company’s outstanding common stock that may yet be purchased under the Company’s publicly announced share repurchase program as described in footnote (1) above. Such shares may be purchased, from time to time, depending on business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modified or terminated any contract, instruction, or written plan for the purchase or sale of our securities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center"/>
        <w:tblInd w:w="0" w:type="dxa"/>
        <w:tblLayout w:type="fixed"/>
        <w:tblCellMar>
          <w:top w:w="28" w:type="dxa"/>
          <w:left w:w="28" w:type="dxa"/>
          <w:bottom w:w="28" w:type="dxa"/>
          <w:right w:w="28" w:type="dxa"/>
        </w:tblCellMar>
      </w:tblPr>
      <w:tblGrid>
        <w:gridCol w:w="339"/>
        <w:gridCol w:w="297"/>
        <w:gridCol w:w="299"/>
        <w:gridCol w:w="109"/>
        <w:gridCol w:w="109"/>
        <w:gridCol w:w="109"/>
        <w:gridCol w:w="2666"/>
        <w:gridCol w:w="2581"/>
        <w:gridCol w:w="3696"/>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Title</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20"/>
                  <w:u w:val="single"/>
                </w:rPr>
                <w:t xml:space="preserve">Fifth Amendment to Second Amended and Restated Credit Agreement, dated as of June 1, 2026, by and among Bright Horizons Family Solutions LLC, Bright Horizons Capital Corp., certain subsidiaries of the Borrower, JPMorgan Chase Bank, N.A., as administrative agent, the 2026 Term A </w:t>
              </w:r>
            </w:hyperlink>
            <w:hyperlink r:id="rId4">
              <w:r>
                <w:rPr>
                  <w:rStyle w:val="InternetLink"/>
                  <w:rFonts w:ascii="Times New Roman;serif" w:hAnsi="Times New Roman;serif"/>
                  <w:b w:val="false"/>
                  <w:color w:val="000080"/>
                  <w:sz w:val="20"/>
                  <w:u w:val="single"/>
                </w:rPr>
                <w:t>L</w:t>
              </w:r>
            </w:hyperlink>
            <w:hyperlink r:id="rId5">
              <w:r>
                <w:rPr>
                  <w:rStyle w:val="InternetLink"/>
                  <w:rFonts w:ascii="Times New Roman;serif" w:hAnsi="Times New Roman;serif"/>
                  <w:b w:val="false"/>
                  <w:color w:val="000080"/>
                  <w:sz w:val="20"/>
                  <w:u w:val="single"/>
                </w:rPr>
                <w:t>enders, the 2026 Revolving Credit Lenders party thereto and the L/C Issuer party thereto.</w:t>
              </w:r>
            </w:hyperlink>
            <w:r>
              <w:rPr>
                <w:color w:val="000000"/>
              </w:rPr>
              <w:t xml:space="preserve"> </w:t>
            </w:r>
            <w:r>
              <w:rPr>
                <w:rFonts w:ascii="Times New Roman;serif" w:hAnsi="Times New Roman;serif"/>
                <w:b w:val="false"/>
                <w:color w:val="000000"/>
                <w:sz w:val="20"/>
              </w:rPr>
              <w:t xml:space="preserve">(incorporated by reference to Exhibit 10.1 to the Company's Current Report on Form 8-K, File No. 001-35780, filed June 1, 2026) </w:t>
            </w:r>
            <w:r>
              <w:rPr>
                <w:rFonts w:ascii="Times New Roman;serif" w:hAnsi="Times New Roman;serif"/>
                <w:b w:val="false"/>
                <w:color w:val="000000"/>
                <w:sz w:val="13"/>
              </w:rPr>
              <w:t>(1)</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fam-063026xex311.htm">
              <w:r>
                <w:rPr>
                  <w:rStyle w:val="InternetLink"/>
                  <w:rFonts w:ascii="Times New Roman;serif" w:hAnsi="Times New Roman;serif"/>
                  <w:b w:val="false"/>
                  <w:color w:val="0000FF"/>
                  <w:sz w:val="20"/>
                  <w:u w:val="single"/>
                </w:rPr>
                <w:t>Principal Executive Officer Certification Pursuant to Securities Exchange Act Rules 13a-14(a) and 15d-14(a) as Adopted Pursuant to Section 302 of the Sarbanes-Oxley Act of 2002.</w:t>
              </w:r>
            </w:hyperlink>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fam-063026xex312.htm">
              <w:r>
                <w:rPr>
                  <w:rStyle w:val="InternetLink"/>
                  <w:rFonts w:ascii="Times New Roman;serif" w:hAnsi="Times New Roman;serif"/>
                  <w:b w:val="false"/>
                  <w:color w:val="0000FF"/>
                  <w:sz w:val="20"/>
                  <w:u w:val="single"/>
                </w:rPr>
                <w:t>Principal Financial Officer Certification Pursuant to Securities Exchange Act Rules 13a-14(a) and 15d-14(a) as Adopted Pursuant to Section 302 of the Sarbanes-Oxley Act of 2002.</w:t>
              </w:r>
            </w:hyperlink>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fam-063026xex321.htm">
              <w:r>
                <w:rPr>
                  <w:rStyle w:val="InternetLink"/>
                  <w:rFonts w:ascii="Times New Roman;serif" w:hAnsi="Times New Roman;serif"/>
                  <w:b w:val="false"/>
                  <w:color w:val="0000FF"/>
                  <w:sz w:val="20"/>
                  <w:u w:val="single"/>
                </w:rPr>
                <w:t>Principal Executive Officer Certification Pursuant to 18 U.S.C. Section 1350 as Adopted Pursuant to Section 906 of the Sarbanes-Oxley Act of 2002.</w:t>
              </w:r>
            </w:hyperlink>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fam-063026xex322.htm">
              <w:r>
                <w:rPr>
                  <w:rStyle w:val="InternetLink"/>
                  <w:rFonts w:ascii="Times New Roman;serif" w:hAnsi="Times New Roman;serif"/>
                  <w:b w:val="false"/>
                  <w:color w:val="0000FF"/>
                  <w:sz w:val="20"/>
                  <w:u w:val="single"/>
                </w:rPr>
                <w:t>Principal Financial Officer Certification Pursuant to 18 U.S.C. Section 1350 as Adopted Pursuant to Section 906 of the Sarbanes-Oxley Act of 2002.</w:t>
              </w:r>
            </w:hyperlink>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Interactive Data File because its XBRL tags are embedded within the Inline XBRL document.</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Certain schedules (or similar attachments) have been omitted pursuant to Item 601(a)(5) of Regulation S-K. The registrant hereby undertakes to furnish supplemental copies of any of the omitted schedules (or similar attachments) upon request by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b53ce2178c4c4127bccfccb836f8ee87_7">
        <w:r>
          <w:rPr>
            <w:rStyle w:val="InternetLink"/>
            <w:rFonts w:ascii="Times New Roman;serif" w:hAnsi="Times New Roman;serif"/>
            <w:b w:val="false"/>
            <w:color w:val="0000FF"/>
            <w:sz w:val="18"/>
            <w:u w:val="single"/>
          </w:rPr>
          <w:t xml:space="preserve">Table of </w:t>
        </w:r>
      </w:hyperlink>
      <w:hyperlink w:anchor="ib53ce2178c4c4127bccfccb836f8ee87_7">
        <w:r>
          <w:rPr>
            <w:rStyle w:val="InternetLink"/>
            <w:rFonts w:ascii="Times New Roman;serif" w:hAnsi="Times New Roman;serif"/>
            <w:b w:val="false"/>
            <w:color w:val="0000FF"/>
            <w:sz w:val="20"/>
            <w:u w:val="single"/>
          </w:rPr>
          <w:t>Contents</w:t>
        </w:r>
      </w:hyperlink>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21" w:type="dxa"/>
        <w:jc w:val="center"/>
        <w:tblInd w:w="0" w:type="dxa"/>
        <w:tblLayout w:type="fixed"/>
        <w:tblCellMar>
          <w:top w:w="28" w:type="dxa"/>
          <w:left w:w="28" w:type="dxa"/>
          <w:bottom w:w="28" w:type="dxa"/>
          <w:right w:w="28" w:type="dxa"/>
        </w:tblCellMar>
      </w:tblPr>
      <w:tblGrid>
        <w:gridCol w:w="814"/>
        <w:gridCol w:w="718"/>
        <w:gridCol w:w="718"/>
        <w:gridCol w:w="718"/>
        <w:gridCol w:w="718"/>
        <w:gridCol w:w="722"/>
        <w:gridCol w:w="134"/>
        <w:gridCol w:w="134"/>
        <w:gridCol w:w="136"/>
        <w:gridCol w:w="676"/>
        <w:gridCol w:w="676"/>
        <w:gridCol w:w="957"/>
      </w:tblGrid>
      <w:tr>
        <w:trPr/>
        <w:tc>
          <w:tcPr>
            <w:tcW w:w="81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4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BRIGHT HORIZONS FAMILY SOLUTIONS INC.</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Boland</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Boland</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3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CERTIFICATION OF CHIEF EXECUTIVE OFFICER, BRIGHT HORIZONS FAMILY SOLUTIONS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Stephen H. Kramer,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Bright Horizons Family Solutions Inc.;</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6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22"/>
        <w:gridCol w:w="622"/>
        <w:gridCol w:w="88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H. Kramer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Stephen H. Kramer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CERTIFICATION OF CHIEF FINANCIAL OFFICER, BRIGHT HORIZONS FAMILY SOLUTIONS INC.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Elizabeth Boland,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Bright Horizons Family Solutions Inc.;</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3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Elizabeth Boland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Elizabeth Boland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Bright Horizons Family Solutions Inc. (the “Company”) on Form 10-Q for the quarter ended June 30, 2026, as filed with the Securities and Exchange Commission on the date hereof (the “Report”), I, Stephen H. Kramer, Chief Executive Officer of the Company, certify, pursuant to 18 U.S.C. §1350, as adopted pursuant to §906 of the Sarbanes-Oxley Act of 2002, that, to the best of my knowledge: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6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22"/>
        <w:gridCol w:w="622"/>
        <w:gridCol w:w="88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H. Kramer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Stephen H. Kramer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Bright Horizons Family Solutions Inc. and will be retained by Bright Horizons Family Solutions Inc. and furnished to the Securities and Exchange Commission or its staff upon request.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Bright Horizons Family Solutions Inc. (the “Company”) on Form 10-Q for the quarter ended June 30, 2026, as filed with the Securities and Exchange Commission on the date hereof (the “Report”), I, Elizabeth Boland, Chief Financial Officer of the Company, certify, pursuant to 18 U.S.C. §1350, as adopted pursuant to §906 of the Sarbanes-Oxley Act of 2002, that, to the best of my knowledge: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36" w:type="dxa"/>
        <w:jc w:val="center"/>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06,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Elizabeth Boland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Elizabeth Boland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Bright Horizons Family Solutions Inc. and will be retained by Bright Horizons Family Solutions Inc. and furnished to the Securities and Exchange Commission or its staff upon request.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437578/000119312526251551/d139662dex101.htm" TargetMode="External"/><Relationship Id="rId4" Type="http://schemas.openxmlformats.org/officeDocument/2006/relationships/hyperlink" Target="https://www.sec.gov/Archives/edgar/data/1437578/000119312526251551/d139662dex101.htm" TargetMode="External"/><Relationship Id="rId5" Type="http://schemas.openxmlformats.org/officeDocument/2006/relationships/hyperlink" Target="https://www.sec.gov/Archives/edgar/data/1437578/000119312526251551/d139662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21413</Words>
  <Characters>117386</Characters>
  <CharactersWithSpaces>137277</CharactersWithSpaces>
  <Paragraphs>2673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