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Mary Lou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North America Center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0"/>
        <w:gridCol w:w="913"/>
        <w:gridCol w:w="782"/>
        <w:gridCol w:w="606"/>
        <w:gridCol w:w="350"/>
        <w:gridCol w:w="848"/>
        <w:gridCol w:w="453"/>
        <w:gridCol w:w="618"/>
        <w:gridCol w:w="1166"/>
        <w:gridCol w:w="1001"/>
        <w:gridCol w:w="11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30,945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  <w:tr>
        <w:trPr/>
        <w:tc>
          <w:tcPr>
            <w:tcW w:w="23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trading plan intended to comply with Rule 10b5-1(c) previously adopted by the Reporting Person on March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Mary Lou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mlbpoabfam.txt"/>
      <w:bookmarkStart w:id="3" w:name="ksmlbpoabfam"/>
      <w:bookmarkEnd w:id="2"/>
      <w:bookmarkEnd w:id="3"/>
      <w:r>
        <w:rPr/>
        <w:t>BRIGHT HORIZONS FAMILY SOLUTIONS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David Lissy,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Boland, John Casagrande and Stephen Dreier,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Bright Horizons Family Solutions Inc. (the "Company"),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 (the "Act"),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stock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may be of benefit to, in the best interest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thing whatsoever requisite, necessary or proper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the acts such attorney-in-fact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with respect to the undersigned's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each of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the date set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/s/ Mary Lou Burke            Date:  12/21/15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Witnessed:  /s/ Elizabeth Larcano         Date:  12/21/15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1892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1065</Words>
  <Characters>5652</Characters>
  <CharactersWithSpaces>6613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